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240" w:lineRule="auto"/>
        <w:ind w:firstLine="0" w:firstLineChars="0"/>
        <w:jc w:val="left"/>
        <w:rPr>
          <w:rFonts w:ascii="宋体" w:hAnsi="宋体" w:cs="宋体"/>
          <w:color w:val="auto"/>
        </w:rPr>
      </w:pPr>
    </w:p>
    <w:p>
      <w:pPr>
        <w:widowControl/>
        <w:spacing w:line="240" w:lineRule="auto"/>
        <w:ind w:firstLine="0" w:firstLineChars="0"/>
        <w:jc w:val="left"/>
        <w:rPr>
          <w:rFonts w:ascii="宋体" w:hAnsi="宋体" w:cs="宋体"/>
          <w:color w:val="auto"/>
        </w:rPr>
      </w:pPr>
    </w:p>
    <w:tbl>
      <w:tblPr>
        <w:tblStyle w:val="19"/>
        <w:tblpPr w:leftFromText="180" w:rightFromText="180" w:vertAnchor="page" w:horzAnchor="page" w:tblpXSpec="center" w:tblpY="2073"/>
        <w:tblOverlap w:val="never"/>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06"/>
        <w:gridCol w:w="54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2" w:hRule="atLeast"/>
          <w:jc w:val="center"/>
        </w:trPr>
        <w:tc>
          <w:tcPr>
            <w:tcW w:w="1606" w:type="dxa"/>
            <w:tcBorders>
              <w:tl2br w:val="nil"/>
              <w:tr2bl w:val="nil"/>
            </w:tcBorders>
            <w:vAlign w:val="center"/>
          </w:tcPr>
          <w:p>
            <w:pPr>
              <w:widowControl/>
              <w:spacing w:line="240" w:lineRule="auto"/>
              <w:ind w:firstLine="0" w:firstLineChars="0"/>
              <w:rPr>
                <w:rFonts w:ascii="宋体" w:hAnsi="宋体" w:cs="宋体"/>
                <w:color w:val="auto"/>
              </w:rPr>
            </w:pPr>
            <w:r>
              <w:rPr>
                <w:rFonts w:ascii="宋体" w:hAnsi="宋体" w:cs="宋体"/>
                <w:color w:val="auto"/>
              </w:rPr>
              <w:drawing>
                <wp:inline distT="0" distB="0" distL="0" distR="0">
                  <wp:extent cx="903605" cy="873760"/>
                  <wp:effectExtent l="0" t="0" r="10795" b="2540"/>
                  <wp:docPr id="1" name="图片 1" descr="徽标, 公司名称&#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徽标, 公司名称&#10;&#10;描述已自动生成"/>
                          <pic:cNvPicPr>
                            <a:picLocks noChangeAspect="1" noChangeArrowheads="1"/>
                          </pic:cNvPicPr>
                        </pic:nvPicPr>
                        <pic:blipFill>
                          <a:blip r:embed="rId16"/>
                          <a:srcRect l="30984" r="31042" b="44492"/>
                          <a:stretch>
                            <a:fillRect/>
                          </a:stretch>
                        </pic:blipFill>
                        <pic:spPr>
                          <a:xfrm>
                            <a:off x="0" y="0"/>
                            <a:ext cx="903605" cy="873760"/>
                          </a:xfrm>
                          <a:prstGeom prst="rect">
                            <a:avLst/>
                          </a:prstGeom>
                          <a:noFill/>
                          <a:ln w="9525">
                            <a:noFill/>
                            <a:miter lim="800000"/>
                            <a:headEnd/>
                            <a:tailEnd/>
                          </a:ln>
                        </pic:spPr>
                      </pic:pic>
                    </a:graphicData>
                  </a:graphic>
                </wp:inline>
              </w:drawing>
            </w:r>
          </w:p>
        </w:tc>
        <w:tc>
          <w:tcPr>
            <w:tcW w:w="5453" w:type="dxa"/>
            <w:tcBorders>
              <w:tl2br w:val="nil"/>
              <w:tr2bl w:val="nil"/>
            </w:tcBorders>
            <w:vAlign w:val="center"/>
          </w:tcPr>
          <w:p>
            <w:pPr>
              <w:widowControl/>
              <w:spacing w:line="240" w:lineRule="auto"/>
              <w:ind w:firstLine="0" w:firstLineChars="0"/>
              <w:jc w:val="left"/>
              <w:rPr>
                <w:rFonts w:ascii="宋体" w:hAnsi="宋体" w:cs="宋体"/>
                <w:color w:val="auto"/>
              </w:rPr>
            </w:pPr>
            <w:r>
              <w:rPr>
                <w:rFonts w:hint="eastAsia" w:ascii="宋体" w:hAnsi="宋体" w:cs="宋体"/>
                <w:color w:val="auto"/>
              </w:rPr>
              <w:object>
                <v:shape id="_x0000_i1025" o:spt="75" type="#_x0000_t75" style="height:63.6pt;width:261pt;" o:ole="t" filled="f" o:preferrelative="t" stroked="f" coordsize="21600,21600">
                  <v:path/>
                  <v:fill on="f" focussize="0,0"/>
                  <v:stroke on="f" joinstyle="miter"/>
                  <v:imagedata r:id="rId18" o:title=""/>
                  <o:lock v:ext="edit" aspectratio="t"/>
                  <w10:wrap type="none"/>
                  <w10:anchorlock/>
                </v:shape>
                <o:OLEObject Type="Embed" ProgID="CorelDraw.Graphic.22" ShapeID="_x0000_i1025" DrawAspect="Content" ObjectID="_1468075725" r:id="rId17">
                  <o:LockedField>false</o:LockedField>
                </o:OLEObject>
              </w:object>
            </w:r>
          </w:p>
        </w:tc>
      </w:tr>
    </w:tbl>
    <w:p>
      <w:pPr>
        <w:widowControl/>
        <w:spacing w:line="240" w:lineRule="auto"/>
        <w:ind w:firstLine="0" w:firstLineChars="0"/>
        <w:jc w:val="center"/>
        <w:rPr>
          <w:rFonts w:ascii="宋体" w:hAnsi="宋体" w:cs="宋体"/>
          <w:color w:val="auto"/>
          <w:kern w:val="0"/>
          <w:sz w:val="60"/>
          <w:szCs w:val="60"/>
        </w:rPr>
      </w:pPr>
    </w:p>
    <w:p>
      <w:pPr>
        <w:widowControl/>
        <w:spacing w:line="240" w:lineRule="auto"/>
        <w:ind w:firstLine="1124"/>
        <w:jc w:val="center"/>
        <w:rPr>
          <w:rFonts w:ascii="宋体" w:hAnsi="宋体" w:cs="宋体"/>
          <w:b/>
          <w:bCs/>
          <w:color w:val="auto"/>
          <w:kern w:val="0"/>
          <w:sz w:val="56"/>
          <w:szCs w:val="56"/>
        </w:rPr>
      </w:pPr>
    </w:p>
    <w:p>
      <w:pPr>
        <w:widowControl/>
        <w:spacing w:line="300" w:lineRule="exact"/>
        <w:ind w:firstLine="201"/>
        <w:jc w:val="center"/>
        <w:rPr>
          <w:rFonts w:ascii="宋体" w:hAnsi="宋体" w:cs="宋体"/>
          <w:b/>
          <w:bCs/>
          <w:color w:val="auto"/>
          <w:kern w:val="0"/>
          <w:sz w:val="10"/>
          <w:szCs w:val="10"/>
        </w:rPr>
      </w:pPr>
    </w:p>
    <w:p>
      <w:pPr>
        <w:widowControl/>
        <w:spacing w:before="156" w:beforeLines="50" w:line="1100" w:lineRule="exact"/>
        <w:ind w:firstLine="0" w:firstLineChars="0"/>
        <w:jc w:val="center"/>
        <w:rPr>
          <w:rFonts w:ascii="宋体" w:hAnsi="宋体" w:cs="宋体"/>
          <w:b/>
          <w:bCs/>
          <w:color w:val="auto"/>
          <w:kern w:val="0"/>
          <w:sz w:val="36"/>
          <w:szCs w:val="36"/>
        </w:rPr>
      </w:pPr>
    </w:p>
    <w:p>
      <w:pPr>
        <w:widowControl/>
        <w:spacing w:before="624" w:beforeLines="200" w:line="240" w:lineRule="auto"/>
        <w:ind w:firstLine="0" w:firstLineChars="0"/>
        <w:jc w:val="center"/>
        <w:rPr>
          <w:rFonts w:ascii="宋体" w:hAnsi="宋体" w:cs="宋体"/>
          <w:b/>
          <w:bCs/>
          <w:color w:val="auto"/>
          <w:kern w:val="0"/>
          <w:sz w:val="84"/>
          <w:szCs w:val="84"/>
        </w:rPr>
      </w:pPr>
      <w:r>
        <w:rPr>
          <w:rFonts w:hint="eastAsia" w:ascii="黑体" w:hAnsi="黑体" w:eastAsia="黑体" w:cs="黑体"/>
          <w:b/>
          <w:bCs/>
          <w:color w:val="auto"/>
          <w:kern w:val="0"/>
          <w:sz w:val="36"/>
          <w:szCs w:val="36"/>
        </w:rPr>
        <w:t>本科教学质量报告</w:t>
      </w:r>
    </w:p>
    <w:p>
      <w:pPr>
        <w:widowControl/>
        <w:spacing w:before="624" w:beforeLines="200" w:line="240" w:lineRule="auto"/>
        <w:ind w:firstLine="0" w:firstLineChars="0"/>
        <w:jc w:val="center"/>
        <w:rPr>
          <w:rFonts w:ascii="黑体" w:hAnsi="黑体" w:eastAsia="黑体" w:cs="黑体"/>
          <w:b/>
          <w:bCs/>
          <w:color w:val="auto"/>
          <w:kern w:val="0"/>
          <w:sz w:val="36"/>
          <w:szCs w:val="36"/>
        </w:rPr>
      </w:pPr>
      <w:r>
        <w:rPr>
          <w:rFonts w:hint="eastAsia" w:ascii="黑体" w:hAnsi="黑体" w:eastAsia="黑体" w:cs="黑体"/>
          <w:b/>
          <w:bCs/>
          <w:color w:val="auto"/>
          <w:kern w:val="0"/>
          <w:sz w:val="36"/>
          <w:szCs w:val="36"/>
        </w:rPr>
        <w:t>（202</w:t>
      </w:r>
      <w:r>
        <w:rPr>
          <w:rFonts w:hint="eastAsia" w:ascii="黑体" w:hAnsi="黑体" w:eastAsia="黑体" w:cs="黑体"/>
          <w:b/>
          <w:bCs/>
          <w:color w:val="auto"/>
          <w:kern w:val="0"/>
          <w:sz w:val="36"/>
          <w:szCs w:val="36"/>
          <w:lang w:val="en-US" w:eastAsia="zh-CN"/>
        </w:rPr>
        <w:t>2</w:t>
      </w:r>
      <w:r>
        <w:rPr>
          <w:rFonts w:hint="eastAsia" w:ascii="黑体" w:hAnsi="黑体" w:eastAsia="黑体" w:cs="黑体"/>
          <w:b/>
          <w:bCs/>
          <w:color w:val="auto"/>
          <w:kern w:val="0"/>
          <w:sz w:val="36"/>
          <w:szCs w:val="36"/>
        </w:rPr>
        <w:t>-202</w:t>
      </w:r>
      <w:r>
        <w:rPr>
          <w:rFonts w:hint="eastAsia" w:ascii="黑体" w:hAnsi="黑体" w:eastAsia="黑体" w:cs="黑体"/>
          <w:b/>
          <w:bCs/>
          <w:color w:val="auto"/>
          <w:kern w:val="0"/>
          <w:sz w:val="36"/>
          <w:szCs w:val="36"/>
          <w:lang w:val="en-US" w:eastAsia="zh-CN"/>
        </w:rPr>
        <w:t>3</w:t>
      </w:r>
      <w:r>
        <w:rPr>
          <w:rFonts w:hint="eastAsia" w:ascii="黑体" w:hAnsi="黑体" w:eastAsia="黑体" w:cs="黑体"/>
          <w:b/>
          <w:bCs/>
          <w:color w:val="auto"/>
          <w:kern w:val="0"/>
          <w:sz w:val="36"/>
          <w:szCs w:val="36"/>
        </w:rPr>
        <w:t>学年）</w:t>
      </w:r>
    </w:p>
    <w:p>
      <w:pPr>
        <w:spacing w:line="900" w:lineRule="exact"/>
        <w:ind w:firstLine="480"/>
        <w:rPr>
          <w:rFonts w:ascii="宋体" w:hAnsi="宋体" w:cs="宋体"/>
          <w:color w:val="auto"/>
          <w:szCs w:val="24"/>
        </w:rPr>
      </w:pPr>
    </w:p>
    <w:p>
      <w:pPr>
        <w:spacing w:line="900" w:lineRule="exact"/>
        <w:ind w:firstLine="480"/>
        <w:rPr>
          <w:rFonts w:ascii="宋体" w:hAnsi="宋体" w:cs="宋体"/>
          <w:color w:val="auto"/>
          <w:szCs w:val="24"/>
        </w:rPr>
      </w:pPr>
    </w:p>
    <w:p>
      <w:pPr>
        <w:spacing w:line="900" w:lineRule="exact"/>
        <w:ind w:firstLine="480"/>
        <w:rPr>
          <w:rFonts w:ascii="宋体" w:hAnsi="宋体" w:cs="宋体"/>
          <w:color w:val="auto"/>
          <w:szCs w:val="24"/>
        </w:rPr>
      </w:pPr>
    </w:p>
    <w:p>
      <w:pPr>
        <w:spacing w:line="900" w:lineRule="exact"/>
        <w:ind w:firstLine="480"/>
        <w:rPr>
          <w:rFonts w:ascii="宋体" w:hAnsi="宋体" w:cs="宋体"/>
          <w:color w:val="auto"/>
          <w:szCs w:val="24"/>
        </w:rPr>
      </w:pPr>
    </w:p>
    <w:p>
      <w:pPr>
        <w:spacing w:line="240" w:lineRule="auto"/>
        <w:ind w:firstLine="480"/>
        <w:rPr>
          <w:rFonts w:ascii="宋体" w:hAnsi="宋体" w:cs="宋体"/>
          <w:color w:val="auto"/>
          <w:szCs w:val="24"/>
        </w:rPr>
      </w:pPr>
    </w:p>
    <w:p>
      <w:pPr>
        <w:spacing w:line="240" w:lineRule="auto"/>
        <w:ind w:firstLine="480"/>
        <w:rPr>
          <w:rFonts w:ascii="宋体" w:hAnsi="宋体" w:cs="宋体"/>
          <w:color w:val="auto"/>
          <w:szCs w:val="24"/>
        </w:rPr>
      </w:pPr>
    </w:p>
    <w:p>
      <w:pPr>
        <w:spacing w:line="240" w:lineRule="auto"/>
        <w:ind w:firstLine="640"/>
        <w:jc w:val="center"/>
        <w:rPr>
          <w:rFonts w:ascii="宋体" w:hAnsi="宋体" w:cs="宋体"/>
          <w:color w:val="auto"/>
          <w:sz w:val="32"/>
          <w:szCs w:val="32"/>
        </w:rPr>
      </w:pPr>
    </w:p>
    <w:p>
      <w:pPr>
        <w:spacing w:line="240" w:lineRule="auto"/>
        <w:ind w:firstLine="0" w:firstLineChars="0"/>
        <w:jc w:val="center"/>
        <w:rPr>
          <w:rFonts w:ascii="宋体" w:hAnsi="宋体" w:cs="宋体"/>
          <w:color w:val="auto"/>
          <w:sz w:val="40"/>
          <w:szCs w:val="40"/>
        </w:rPr>
      </w:pPr>
    </w:p>
    <w:p>
      <w:pPr>
        <w:spacing w:line="240" w:lineRule="auto"/>
        <w:ind w:firstLine="0" w:firstLineChars="0"/>
        <w:jc w:val="center"/>
        <w:rPr>
          <w:rFonts w:ascii="宋体" w:hAnsi="宋体" w:cs="宋体"/>
          <w:color w:val="auto"/>
          <w:szCs w:val="24"/>
        </w:rPr>
      </w:pPr>
      <w:r>
        <w:rPr>
          <w:rFonts w:hint="eastAsia" w:ascii="宋体" w:hAnsi="宋体" w:cs="宋体"/>
          <w:color w:val="auto"/>
          <w:szCs w:val="24"/>
        </w:rPr>
        <w:t>二〇二</w:t>
      </w:r>
      <w:r>
        <w:rPr>
          <w:rFonts w:hint="eastAsia" w:ascii="宋体" w:hAnsi="宋体" w:cs="宋体"/>
          <w:color w:val="auto"/>
          <w:szCs w:val="24"/>
          <w:lang w:val="en-US" w:eastAsia="zh-CN"/>
        </w:rPr>
        <w:t>三</w:t>
      </w:r>
      <w:r>
        <w:rPr>
          <w:rFonts w:hint="eastAsia" w:ascii="宋体" w:hAnsi="宋体" w:cs="宋体"/>
          <w:color w:val="auto"/>
          <w:szCs w:val="24"/>
        </w:rPr>
        <w:t>年十</w:t>
      </w:r>
      <w:r>
        <w:rPr>
          <w:rFonts w:hint="eastAsia" w:ascii="宋体" w:hAnsi="宋体" w:cs="宋体"/>
          <w:color w:val="auto"/>
          <w:szCs w:val="24"/>
          <w:lang w:val="en-US" w:eastAsia="zh-CN"/>
        </w:rPr>
        <w:t>一</w:t>
      </w:r>
      <w:r>
        <w:rPr>
          <w:rFonts w:hint="eastAsia" w:ascii="宋体" w:hAnsi="宋体" w:cs="宋体"/>
          <w:color w:val="auto"/>
          <w:szCs w:val="24"/>
        </w:rPr>
        <w:t>月</w:t>
      </w:r>
    </w:p>
    <w:p>
      <w:pPr>
        <w:widowControl/>
        <w:ind w:firstLine="720"/>
        <w:jc w:val="center"/>
        <w:rPr>
          <w:rFonts w:ascii="宋体" w:hAnsi="宋体" w:cs="宋体"/>
          <w:b/>
          <w:bCs/>
          <w:color w:val="auto"/>
          <w:sz w:val="32"/>
          <w:szCs w:val="32"/>
          <w:lang w:val="zh-CN"/>
        </w:rPr>
      </w:pPr>
      <w:r>
        <w:rPr>
          <w:rFonts w:hint="eastAsia" w:ascii="宋体" w:hAnsi="宋体" w:cs="宋体"/>
          <w:color w:val="auto"/>
          <w:sz w:val="36"/>
          <w:szCs w:val="36"/>
        </w:rPr>
        <w:br w:type="page"/>
      </w:r>
      <w:r>
        <w:rPr>
          <w:rFonts w:hint="eastAsia" w:ascii="宋体" w:hAnsi="宋体" w:cs="宋体"/>
          <w:b/>
          <w:bCs/>
          <w:color w:val="auto"/>
          <w:sz w:val="32"/>
          <w:szCs w:val="32"/>
          <w:lang w:val="zh-CN"/>
        </w:rPr>
        <w:t>目录</w:t>
      </w:r>
    </w:p>
    <w:p>
      <w:pPr>
        <w:widowControl/>
        <w:spacing w:line="312" w:lineRule="auto"/>
        <w:ind w:firstLine="562"/>
        <w:jc w:val="center"/>
        <w:rPr>
          <w:rFonts w:ascii="仿宋" w:hAnsi="仿宋" w:eastAsia="仿宋" w:cs="仿宋"/>
          <w:b/>
          <w:bCs/>
          <w:color w:val="auto"/>
          <w:sz w:val="28"/>
          <w:szCs w:val="28"/>
        </w:rPr>
      </w:pPr>
    </w:p>
    <w:p>
      <w:pPr>
        <w:pStyle w:val="14"/>
        <w:tabs>
          <w:tab w:val="right" w:leader="dot" w:pos="8306"/>
          <w:tab w:val="clear" w:pos="8296"/>
        </w:tabs>
      </w:pPr>
      <w:r>
        <w:rPr>
          <w:rStyle w:val="24"/>
          <w:rFonts w:hint="eastAsia" w:ascii="仿宋" w:hAnsi="仿宋" w:eastAsia="仿宋" w:cs="仿宋"/>
          <w:smallCaps/>
          <w:color w:val="auto"/>
        </w:rPr>
        <w:fldChar w:fldCharType="begin"/>
      </w:r>
      <w:r>
        <w:rPr>
          <w:rStyle w:val="24"/>
          <w:rFonts w:hint="eastAsia" w:ascii="仿宋" w:hAnsi="仿宋" w:eastAsia="仿宋" w:cs="仿宋"/>
          <w:smallCaps/>
          <w:color w:val="auto"/>
        </w:rPr>
        <w:instrText xml:space="preserve"> TOC \o "1-3" \h \z \u </w:instrText>
      </w:r>
      <w:r>
        <w:rPr>
          <w:rStyle w:val="24"/>
          <w:rFonts w:hint="eastAsia" w:ascii="仿宋" w:hAnsi="仿宋" w:eastAsia="仿宋" w:cs="仿宋"/>
          <w:smallCaps/>
          <w:color w:val="auto"/>
        </w:rPr>
        <w:fldChar w:fldCharType="separate"/>
      </w:r>
      <w:r>
        <w:rPr>
          <w:rFonts w:hint="eastAsia" w:ascii="仿宋" w:hAnsi="仿宋" w:eastAsia="仿宋" w:cs="仿宋"/>
          <w:smallCaps/>
          <w:color w:val="auto"/>
        </w:rPr>
        <w:fldChar w:fldCharType="begin"/>
      </w:r>
      <w:r>
        <w:rPr>
          <w:rFonts w:hint="eastAsia" w:ascii="仿宋" w:hAnsi="仿宋" w:eastAsia="仿宋" w:cs="仿宋"/>
          <w:smallCaps/>
        </w:rPr>
        <w:instrText xml:space="preserve"> HYPERLINK \l _Toc12601 </w:instrText>
      </w:r>
      <w:r>
        <w:rPr>
          <w:rFonts w:hint="eastAsia" w:ascii="仿宋" w:hAnsi="仿宋" w:eastAsia="仿宋" w:cs="仿宋"/>
          <w:smallCaps/>
        </w:rPr>
        <w:fldChar w:fldCharType="separate"/>
      </w:r>
      <w:r>
        <w:rPr>
          <w:rFonts w:hint="eastAsia"/>
          <w:lang w:val="en-US" w:eastAsia="zh-CN"/>
        </w:rPr>
        <w:t>一、</w:t>
      </w:r>
      <w:r>
        <w:rPr>
          <w:rFonts w:hint="eastAsia"/>
        </w:rPr>
        <w:t>本科教育基本情况</w:t>
      </w:r>
      <w:r>
        <w:tab/>
      </w:r>
      <w:r>
        <w:fldChar w:fldCharType="begin"/>
      </w:r>
      <w:r>
        <w:instrText xml:space="preserve"> PAGEREF _Toc12601 \h </w:instrText>
      </w:r>
      <w:r>
        <w:fldChar w:fldCharType="separate"/>
      </w:r>
      <w:r>
        <w:t>1</w:t>
      </w:r>
      <w:r>
        <w:fldChar w:fldCharType="end"/>
      </w:r>
      <w:r>
        <w:rPr>
          <w:rFonts w:hint="eastAsia" w:ascii="仿宋" w:hAnsi="仿宋" w:eastAsia="仿宋" w:cs="仿宋"/>
          <w:smallCaps/>
          <w:color w:val="auto"/>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_Toc14059 </w:instrText>
      </w:r>
      <w:r>
        <w:rPr>
          <w:rFonts w:hint="eastAsia" w:ascii="仿宋" w:hAnsi="仿宋" w:eastAsia="仿宋" w:cs="仿宋"/>
          <w:szCs w:val="24"/>
        </w:rPr>
        <w:fldChar w:fldCharType="separate"/>
      </w:r>
      <w:r>
        <w:rPr>
          <w:rFonts w:hint="eastAsia" w:ascii="黑体" w:hAnsi="黑体" w:eastAsia="黑体"/>
          <w:lang w:eastAsia="zh-CN"/>
        </w:rPr>
        <w:t>（</w:t>
      </w:r>
      <w:r>
        <w:rPr>
          <w:rFonts w:hint="eastAsia" w:ascii="黑体" w:hAnsi="黑体" w:eastAsia="黑体"/>
          <w:lang w:val="en-US" w:eastAsia="zh-CN"/>
        </w:rPr>
        <w:t>一</w:t>
      </w:r>
      <w:r>
        <w:rPr>
          <w:rFonts w:hint="eastAsia" w:ascii="黑体" w:hAnsi="黑体" w:eastAsia="黑体"/>
          <w:lang w:eastAsia="zh-CN"/>
        </w:rPr>
        <w:t>）</w:t>
      </w:r>
      <w:r>
        <w:rPr>
          <w:rFonts w:hint="eastAsia" w:ascii="黑体" w:hAnsi="黑体" w:eastAsia="黑体"/>
        </w:rPr>
        <w:t>人才培养目标</w:t>
      </w:r>
      <w:r>
        <w:tab/>
      </w:r>
      <w:r>
        <w:fldChar w:fldCharType="begin"/>
      </w:r>
      <w:r>
        <w:instrText xml:space="preserve"> PAGEREF _Toc14059 \h </w:instrText>
      </w:r>
      <w:r>
        <w:fldChar w:fldCharType="separate"/>
      </w:r>
      <w:r>
        <w:t>1</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_Toc16530 </w:instrText>
      </w:r>
      <w:r>
        <w:rPr>
          <w:rFonts w:hint="eastAsia" w:ascii="仿宋" w:hAnsi="仿宋" w:eastAsia="仿宋" w:cs="仿宋"/>
          <w:szCs w:val="24"/>
        </w:rPr>
        <w:fldChar w:fldCharType="separate"/>
      </w:r>
      <w:r>
        <w:rPr>
          <w:rFonts w:hint="eastAsia" w:ascii="黑体" w:hAnsi="黑体" w:eastAsia="黑体"/>
          <w:lang w:eastAsia="zh-CN"/>
        </w:rPr>
        <w:t>（</w:t>
      </w:r>
      <w:r>
        <w:rPr>
          <w:rFonts w:hint="eastAsia" w:ascii="黑体" w:hAnsi="黑体" w:eastAsia="黑体"/>
          <w:lang w:val="en-US" w:eastAsia="zh-CN"/>
        </w:rPr>
        <w:t>二</w:t>
      </w:r>
      <w:r>
        <w:rPr>
          <w:rFonts w:hint="eastAsia" w:ascii="黑体" w:hAnsi="黑体" w:eastAsia="黑体"/>
          <w:lang w:eastAsia="zh-CN"/>
        </w:rPr>
        <w:t>）</w:t>
      </w:r>
      <w:r>
        <w:rPr>
          <w:rFonts w:ascii="黑体" w:hAnsi="黑体" w:eastAsia="黑体"/>
        </w:rPr>
        <w:t>学科专业设置</w:t>
      </w:r>
      <w:r>
        <w:tab/>
      </w:r>
      <w:r>
        <w:fldChar w:fldCharType="begin"/>
      </w:r>
      <w:r>
        <w:instrText xml:space="preserve"> PAGEREF _Toc16530 \h </w:instrText>
      </w:r>
      <w:r>
        <w:fldChar w:fldCharType="separate"/>
      </w:r>
      <w:r>
        <w:t>1</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_Toc25946 </w:instrText>
      </w:r>
      <w:r>
        <w:rPr>
          <w:rFonts w:hint="eastAsia" w:ascii="仿宋" w:hAnsi="仿宋" w:eastAsia="仿宋" w:cs="仿宋"/>
          <w:szCs w:val="24"/>
        </w:rPr>
        <w:fldChar w:fldCharType="separate"/>
      </w:r>
      <w:r>
        <w:rPr>
          <w:rFonts w:hint="eastAsia" w:ascii="黑体" w:hAnsi="黑体" w:eastAsia="黑体"/>
          <w:lang w:eastAsia="zh-CN"/>
        </w:rPr>
        <w:t>（</w:t>
      </w:r>
      <w:r>
        <w:rPr>
          <w:rFonts w:hint="eastAsia" w:ascii="黑体" w:hAnsi="黑体" w:eastAsia="黑体"/>
          <w:lang w:val="en-US" w:eastAsia="zh-CN"/>
        </w:rPr>
        <w:t>三</w:t>
      </w:r>
      <w:r>
        <w:rPr>
          <w:rFonts w:hint="eastAsia" w:ascii="黑体" w:hAnsi="黑体" w:eastAsia="黑体"/>
          <w:lang w:eastAsia="zh-CN"/>
        </w:rPr>
        <w:t>）</w:t>
      </w:r>
      <w:r>
        <w:rPr>
          <w:rFonts w:hint="eastAsia" w:ascii="黑体" w:hAnsi="黑体" w:eastAsia="黑体"/>
        </w:rPr>
        <w:t>在校生规模</w:t>
      </w:r>
      <w:r>
        <w:tab/>
      </w:r>
      <w:r>
        <w:fldChar w:fldCharType="begin"/>
      </w:r>
      <w:r>
        <w:instrText xml:space="preserve"> PAGEREF _Toc25946 \h </w:instrText>
      </w:r>
      <w:r>
        <w:fldChar w:fldCharType="separate"/>
      </w:r>
      <w:r>
        <w:t>2</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_Toc15355 </w:instrText>
      </w:r>
      <w:r>
        <w:rPr>
          <w:rFonts w:hint="eastAsia" w:ascii="仿宋" w:hAnsi="仿宋" w:eastAsia="仿宋" w:cs="仿宋"/>
          <w:szCs w:val="24"/>
        </w:rPr>
        <w:fldChar w:fldCharType="separate"/>
      </w:r>
      <w:r>
        <w:rPr>
          <w:rFonts w:hint="eastAsia" w:ascii="黑体" w:hAnsi="黑体" w:eastAsia="黑体"/>
          <w:lang w:eastAsia="zh-CN"/>
        </w:rPr>
        <w:t>（</w:t>
      </w:r>
      <w:r>
        <w:rPr>
          <w:rFonts w:hint="eastAsia" w:ascii="黑体" w:hAnsi="黑体" w:eastAsia="黑体"/>
          <w:lang w:val="en-US" w:eastAsia="zh-CN"/>
        </w:rPr>
        <w:t>四</w:t>
      </w:r>
      <w:r>
        <w:rPr>
          <w:rFonts w:hint="eastAsia" w:ascii="黑体" w:hAnsi="黑体" w:eastAsia="黑体"/>
          <w:lang w:eastAsia="zh-CN"/>
        </w:rPr>
        <w:t>）</w:t>
      </w:r>
      <w:r>
        <w:rPr>
          <w:rFonts w:hint="eastAsia" w:ascii="黑体" w:hAnsi="黑体" w:eastAsia="黑体"/>
          <w:lang w:val="en-US" w:eastAsia="zh-CN"/>
        </w:rPr>
        <w:t>本科生</w:t>
      </w:r>
      <w:r>
        <w:rPr>
          <w:rFonts w:ascii="黑体" w:hAnsi="黑体" w:eastAsia="黑体"/>
        </w:rPr>
        <w:t>生源质量</w:t>
      </w:r>
      <w:r>
        <w:tab/>
      </w:r>
      <w:r>
        <w:fldChar w:fldCharType="begin"/>
      </w:r>
      <w:r>
        <w:instrText xml:space="preserve"> PAGEREF _Toc15355 \h </w:instrText>
      </w:r>
      <w:r>
        <w:fldChar w:fldCharType="separate"/>
      </w:r>
      <w:r>
        <w:t>3</w:t>
      </w:r>
      <w:r>
        <w:fldChar w:fldCharType="end"/>
      </w:r>
      <w:r>
        <w:rPr>
          <w:rFonts w:hint="eastAsia" w:ascii="仿宋" w:hAnsi="仿宋" w:eastAsia="仿宋" w:cs="仿宋"/>
          <w:color w:val="auto"/>
          <w:szCs w:val="24"/>
        </w:rPr>
        <w:fldChar w:fldCharType="end"/>
      </w:r>
    </w:p>
    <w:p>
      <w:pPr>
        <w:pStyle w:val="14"/>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_Toc2716 </w:instrText>
      </w:r>
      <w:r>
        <w:rPr>
          <w:rFonts w:hint="eastAsia" w:ascii="仿宋" w:hAnsi="仿宋" w:eastAsia="仿宋" w:cs="仿宋"/>
          <w:szCs w:val="24"/>
        </w:rPr>
        <w:fldChar w:fldCharType="separate"/>
      </w:r>
      <w:r>
        <w:rPr>
          <w:rFonts w:hint="eastAsia"/>
          <w:lang w:val="en-US" w:eastAsia="zh-CN"/>
        </w:rPr>
        <w:t>二、</w:t>
      </w:r>
      <w:r>
        <w:rPr>
          <w:rFonts w:hint="eastAsia"/>
        </w:rPr>
        <w:t>师资</w:t>
      </w:r>
      <w:r>
        <w:rPr>
          <w:rFonts w:hint="eastAsia"/>
          <w:lang w:val="en-US" w:eastAsia="zh-CN"/>
        </w:rPr>
        <w:t>与教学条件</w:t>
      </w:r>
      <w:r>
        <w:tab/>
      </w:r>
      <w:r>
        <w:fldChar w:fldCharType="begin"/>
      </w:r>
      <w:r>
        <w:instrText xml:space="preserve"> PAGEREF _Toc2716 \h </w:instrText>
      </w:r>
      <w:r>
        <w:fldChar w:fldCharType="separate"/>
      </w:r>
      <w:r>
        <w:t>3</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_Toc734 </w:instrText>
      </w:r>
      <w:r>
        <w:rPr>
          <w:rFonts w:hint="eastAsia" w:ascii="仿宋" w:hAnsi="仿宋" w:eastAsia="仿宋" w:cs="仿宋"/>
          <w:szCs w:val="24"/>
        </w:rPr>
        <w:fldChar w:fldCharType="separate"/>
      </w:r>
      <w:r>
        <w:rPr>
          <w:rFonts w:hint="eastAsia" w:ascii="黑体" w:hAnsi="黑体" w:eastAsia="黑体"/>
          <w:lang w:val="en-US" w:eastAsia="zh-CN"/>
        </w:rPr>
        <w:t>（一）师资队伍</w:t>
      </w:r>
      <w:r>
        <w:tab/>
      </w:r>
      <w:r>
        <w:fldChar w:fldCharType="begin"/>
      </w:r>
      <w:r>
        <w:instrText xml:space="preserve"> PAGEREF _Toc734 \h </w:instrText>
      </w:r>
      <w:r>
        <w:fldChar w:fldCharType="separate"/>
      </w:r>
      <w:r>
        <w:t>3</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_Toc6805 </w:instrText>
      </w:r>
      <w:r>
        <w:rPr>
          <w:rFonts w:hint="eastAsia" w:ascii="仿宋" w:hAnsi="仿宋" w:eastAsia="仿宋" w:cs="仿宋"/>
          <w:szCs w:val="24"/>
        </w:rPr>
        <w:fldChar w:fldCharType="separate"/>
      </w:r>
      <w:r>
        <w:rPr>
          <w:rFonts w:hint="eastAsia" w:ascii="黑体" w:hAnsi="黑体" w:eastAsia="黑体"/>
          <w:lang w:val="en-US" w:eastAsia="zh-CN"/>
        </w:rPr>
        <w:t>1.师资</w:t>
      </w:r>
      <w:r>
        <w:rPr>
          <w:rFonts w:hint="eastAsia" w:ascii="黑体" w:hAnsi="黑体" w:eastAsia="黑体"/>
        </w:rPr>
        <w:t>数量和结构</w:t>
      </w:r>
      <w:r>
        <w:tab/>
      </w:r>
      <w:r>
        <w:fldChar w:fldCharType="begin"/>
      </w:r>
      <w:r>
        <w:instrText xml:space="preserve"> PAGEREF _Toc6805 \h </w:instrText>
      </w:r>
      <w:r>
        <w:fldChar w:fldCharType="separate"/>
      </w:r>
      <w:r>
        <w:t>3</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_Toc2859 </w:instrText>
      </w:r>
      <w:r>
        <w:rPr>
          <w:rFonts w:hint="eastAsia" w:ascii="仿宋" w:hAnsi="仿宋" w:eastAsia="仿宋" w:cs="仿宋"/>
          <w:szCs w:val="24"/>
        </w:rPr>
        <w:fldChar w:fldCharType="separate"/>
      </w:r>
      <w:r>
        <w:rPr>
          <w:rFonts w:hint="eastAsia" w:ascii="黑体" w:hAnsi="黑体" w:eastAsia="黑体"/>
        </w:rPr>
        <w:t>2.高层次人才队伍</w:t>
      </w:r>
      <w:r>
        <w:tab/>
      </w:r>
      <w:r>
        <w:fldChar w:fldCharType="begin"/>
      </w:r>
      <w:r>
        <w:instrText xml:space="preserve"> PAGEREF _Toc2859 \h </w:instrText>
      </w:r>
      <w:r>
        <w:fldChar w:fldCharType="separate"/>
      </w:r>
      <w:r>
        <w:t>4</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_Toc9896 </w:instrText>
      </w:r>
      <w:r>
        <w:rPr>
          <w:rFonts w:hint="eastAsia" w:ascii="仿宋" w:hAnsi="仿宋" w:eastAsia="仿宋" w:cs="仿宋"/>
          <w:szCs w:val="24"/>
        </w:rPr>
        <w:fldChar w:fldCharType="separate"/>
      </w:r>
      <w:r>
        <w:rPr>
          <w:rFonts w:hint="eastAsia" w:ascii="黑体" w:hAnsi="黑体" w:eastAsia="黑体"/>
        </w:rPr>
        <w:t>3</w:t>
      </w:r>
      <w:r>
        <w:rPr>
          <w:rFonts w:hint="eastAsia" w:ascii="黑体" w:hAnsi="黑体" w:eastAsia="黑体"/>
          <w:lang w:eastAsia="zh-CN"/>
        </w:rPr>
        <w:t>.</w:t>
      </w:r>
      <w:r>
        <w:rPr>
          <w:rFonts w:hint="eastAsia" w:ascii="黑体" w:hAnsi="黑体" w:eastAsia="黑体"/>
        </w:rPr>
        <w:t>教师发展</w:t>
      </w:r>
      <w:r>
        <w:tab/>
      </w:r>
      <w:r>
        <w:fldChar w:fldCharType="begin"/>
      </w:r>
      <w:r>
        <w:instrText xml:space="preserve"> PAGEREF _Toc9896 \h </w:instrText>
      </w:r>
      <w:r>
        <w:fldChar w:fldCharType="separate"/>
      </w:r>
      <w:r>
        <w:t>5</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_Toc3871 </w:instrText>
      </w:r>
      <w:r>
        <w:rPr>
          <w:rFonts w:hint="eastAsia" w:ascii="仿宋" w:hAnsi="仿宋" w:eastAsia="仿宋" w:cs="仿宋"/>
          <w:szCs w:val="24"/>
        </w:rPr>
        <w:fldChar w:fldCharType="separate"/>
      </w:r>
      <w:r>
        <w:rPr>
          <w:rFonts w:hint="eastAsia" w:ascii="黑体" w:hAnsi="黑体" w:eastAsia="黑体"/>
          <w:lang w:val="en-US" w:eastAsia="zh-CN"/>
        </w:rPr>
        <w:t>（二）教学经费投入</w:t>
      </w:r>
      <w:r>
        <w:tab/>
      </w:r>
      <w:r>
        <w:fldChar w:fldCharType="begin"/>
      </w:r>
      <w:r>
        <w:instrText xml:space="preserve"> PAGEREF _Toc3871 \h </w:instrText>
      </w:r>
      <w:r>
        <w:fldChar w:fldCharType="separate"/>
      </w:r>
      <w:r>
        <w:t>6</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_Toc23780 </w:instrText>
      </w:r>
      <w:r>
        <w:rPr>
          <w:rFonts w:hint="eastAsia" w:ascii="仿宋" w:hAnsi="仿宋" w:eastAsia="仿宋" w:cs="仿宋"/>
          <w:szCs w:val="24"/>
        </w:rPr>
        <w:fldChar w:fldCharType="separate"/>
      </w:r>
      <w:r>
        <w:rPr>
          <w:rFonts w:hint="eastAsia" w:ascii="黑体" w:hAnsi="黑体" w:eastAsia="黑体"/>
          <w:lang w:val="en-US" w:eastAsia="zh-CN"/>
        </w:rPr>
        <w:t>（三）</w:t>
      </w:r>
      <w:r>
        <w:rPr>
          <w:rFonts w:hint="eastAsia" w:ascii="黑体" w:hAnsi="黑体" w:eastAsia="黑体"/>
        </w:rPr>
        <w:t>教学设施情况</w:t>
      </w:r>
      <w:r>
        <w:tab/>
      </w:r>
      <w:r>
        <w:fldChar w:fldCharType="begin"/>
      </w:r>
      <w:r>
        <w:instrText xml:space="preserve"> PAGEREF _Toc23780 \h </w:instrText>
      </w:r>
      <w:r>
        <w:fldChar w:fldCharType="separate"/>
      </w:r>
      <w:r>
        <w:t>7</w:t>
      </w:r>
      <w:r>
        <w:fldChar w:fldCharType="end"/>
      </w:r>
      <w:r>
        <w:rPr>
          <w:rFonts w:hint="eastAsia" w:ascii="仿宋" w:hAnsi="仿宋" w:eastAsia="仿宋" w:cs="仿宋"/>
          <w:color w:val="auto"/>
          <w:szCs w:val="24"/>
        </w:rPr>
        <w:fldChar w:fldCharType="end"/>
      </w:r>
    </w:p>
    <w:p>
      <w:pPr>
        <w:pStyle w:val="9"/>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_Toc30282 </w:instrText>
      </w:r>
      <w:r>
        <w:rPr>
          <w:rFonts w:hint="eastAsia" w:ascii="仿宋" w:hAnsi="仿宋" w:eastAsia="仿宋" w:cs="仿宋"/>
          <w:szCs w:val="24"/>
        </w:rPr>
        <w:fldChar w:fldCharType="separate"/>
      </w:r>
      <w:r>
        <w:rPr>
          <w:rFonts w:hint="eastAsia" w:ascii="黑体" w:hAnsi="黑体" w:cs="黑体"/>
          <w:lang w:val="en-US" w:eastAsia="zh-CN"/>
        </w:rPr>
        <w:t>1.</w:t>
      </w:r>
      <w:r>
        <w:rPr>
          <w:rFonts w:hint="eastAsia" w:ascii="黑体" w:hAnsi="黑体" w:cs="黑体"/>
        </w:rPr>
        <w:t>教学用房</w:t>
      </w:r>
      <w:r>
        <w:tab/>
      </w:r>
      <w:r>
        <w:fldChar w:fldCharType="begin"/>
      </w:r>
      <w:r>
        <w:instrText xml:space="preserve"> PAGEREF _Toc30282 \h </w:instrText>
      </w:r>
      <w:r>
        <w:fldChar w:fldCharType="separate"/>
      </w:r>
      <w:r>
        <w:t>7</w:t>
      </w:r>
      <w:r>
        <w:fldChar w:fldCharType="end"/>
      </w:r>
      <w:r>
        <w:rPr>
          <w:rFonts w:hint="eastAsia" w:ascii="仿宋" w:hAnsi="仿宋" w:eastAsia="仿宋" w:cs="仿宋"/>
          <w:color w:val="auto"/>
          <w:szCs w:val="24"/>
        </w:rPr>
        <w:fldChar w:fldCharType="end"/>
      </w:r>
    </w:p>
    <w:p>
      <w:pPr>
        <w:pStyle w:val="9"/>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_Toc6499 </w:instrText>
      </w:r>
      <w:r>
        <w:rPr>
          <w:rFonts w:hint="eastAsia" w:ascii="仿宋" w:hAnsi="仿宋" w:eastAsia="仿宋" w:cs="仿宋"/>
          <w:szCs w:val="24"/>
        </w:rPr>
        <w:fldChar w:fldCharType="separate"/>
      </w:r>
      <w:r>
        <w:rPr>
          <w:rFonts w:hint="eastAsia" w:ascii="黑体" w:hAnsi="黑体" w:cs="黑体"/>
          <w:lang w:val="en-US" w:eastAsia="zh-CN"/>
        </w:rPr>
        <w:t>2.教学实验室与教学科研仪器设备</w:t>
      </w:r>
      <w:r>
        <w:tab/>
      </w:r>
      <w:r>
        <w:fldChar w:fldCharType="begin"/>
      </w:r>
      <w:r>
        <w:instrText xml:space="preserve"> PAGEREF _Toc6499 \h </w:instrText>
      </w:r>
      <w:r>
        <w:fldChar w:fldCharType="separate"/>
      </w:r>
      <w:r>
        <w:t>7</w:t>
      </w:r>
      <w:r>
        <w:fldChar w:fldCharType="end"/>
      </w:r>
      <w:r>
        <w:rPr>
          <w:rFonts w:hint="eastAsia" w:ascii="仿宋" w:hAnsi="仿宋" w:eastAsia="仿宋" w:cs="仿宋"/>
          <w:color w:val="auto"/>
          <w:szCs w:val="24"/>
        </w:rPr>
        <w:fldChar w:fldCharType="end"/>
      </w:r>
    </w:p>
    <w:p>
      <w:pPr>
        <w:pStyle w:val="9"/>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_Toc15338 </w:instrText>
      </w:r>
      <w:r>
        <w:rPr>
          <w:rFonts w:hint="eastAsia" w:ascii="仿宋" w:hAnsi="仿宋" w:eastAsia="仿宋" w:cs="仿宋"/>
          <w:szCs w:val="24"/>
        </w:rPr>
        <w:fldChar w:fldCharType="separate"/>
      </w:r>
      <w:r>
        <w:rPr>
          <w:rFonts w:hint="eastAsia" w:ascii="黑体" w:hAnsi="黑体" w:cs="黑体"/>
          <w:lang w:val="en-US" w:eastAsia="zh-CN"/>
        </w:rPr>
        <w:t>3.</w:t>
      </w:r>
      <w:r>
        <w:rPr>
          <w:rFonts w:hint="eastAsia" w:ascii="黑体" w:hAnsi="黑体" w:cs="黑体"/>
        </w:rPr>
        <w:t>图书</w:t>
      </w:r>
      <w:r>
        <w:rPr>
          <w:rFonts w:hint="eastAsia" w:ascii="黑体" w:hAnsi="黑体" w:cs="黑体"/>
          <w:lang w:val="en-US" w:eastAsia="zh-CN"/>
        </w:rPr>
        <w:t>馆及图书资源</w:t>
      </w:r>
      <w:r>
        <w:tab/>
      </w:r>
      <w:r>
        <w:fldChar w:fldCharType="begin"/>
      </w:r>
      <w:r>
        <w:instrText xml:space="preserve"> PAGEREF _Toc15338 \h </w:instrText>
      </w:r>
      <w:r>
        <w:fldChar w:fldCharType="separate"/>
      </w:r>
      <w:r>
        <w:t>8</w:t>
      </w:r>
      <w:r>
        <w:fldChar w:fldCharType="end"/>
      </w:r>
      <w:r>
        <w:rPr>
          <w:rFonts w:hint="eastAsia" w:ascii="仿宋" w:hAnsi="仿宋" w:eastAsia="仿宋" w:cs="仿宋"/>
          <w:color w:val="auto"/>
          <w:szCs w:val="24"/>
        </w:rPr>
        <w:fldChar w:fldCharType="end"/>
      </w:r>
    </w:p>
    <w:p>
      <w:pPr>
        <w:pStyle w:val="9"/>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_Toc25557 </w:instrText>
      </w:r>
      <w:r>
        <w:rPr>
          <w:rFonts w:hint="eastAsia" w:ascii="仿宋" w:hAnsi="仿宋" w:eastAsia="仿宋" w:cs="仿宋"/>
          <w:szCs w:val="24"/>
        </w:rPr>
        <w:fldChar w:fldCharType="separate"/>
      </w:r>
      <w:r>
        <w:rPr>
          <w:rFonts w:hint="eastAsia" w:ascii="黑体" w:hAnsi="黑体" w:cs="黑体"/>
          <w:lang w:val="en-US" w:eastAsia="zh-CN"/>
        </w:rPr>
        <w:t>4.</w:t>
      </w:r>
      <w:r>
        <w:rPr>
          <w:rFonts w:hint="eastAsia" w:ascii="黑体" w:hAnsi="黑体" w:cs="黑体"/>
        </w:rPr>
        <w:t>信息资源</w:t>
      </w:r>
      <w:r>
        <w:tab/>
      </w:r>
      <w:r>
        <w:fldChar w:fldCharType="begin"/>
      </w:r>
      <w:r>
        <w:instrText xml:space="preserve"> PAGEREF _Toc25557 \h </w:instrText>
      </w:r>
      <w:r>
        <w:fldChar w:fldCharType="separate"/>
      </w:r>
      <w:r>
        <w:t>8</w:t>
      </w:r>
      <w:r>
        <w:fldChar w:fldCharType="end"/>
      </w:r>
      <w:r>
        <w:rPr>
          <w:rFonts w:hint="eastAsia" w:ascii="仿宋" w:hAnsi="仿宋" w:eastAsia="仿宋" w:cs="仿宋"/>
          <w:color w:val="auto"/>
          <w:szCs w:val="24"/>
        </w:rPr>
        <w:fldChar w:fldCharType="end"/>
      </w:r>
    </w:p>
    <w:p>
      <w:pPr>
        <w:pStyle w:val="14"/>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_Toc25795 </w:instrText>
      </w:r>
      <w:r>
        <w:rPr>
          <w:rFonts w:hint="eastAsia" w:ascii="仿宋" w:hAnsi="仿宋" w:eastAsia="仿宋" w:cs="仿宋"/>
          <w:szCs w:val="24"/>
        </w:rPr>
        <w:fldChar w:fldCharType="separate"/>
      </w:r>
      <w:r>
        <w:rPr>
          <w:rFonts w:hint="eastAsia"/>
          <w:lang w:val="en-US" w:eastAsia="zh-CN"/>
        </w:rPr>
        <w:t>三、</w:t>
      </w:r>
      <w:r>
        <w:rPr>
          <w:rFonts w:hint="eastAsia"/>
        </w:rPr>
        <w:t>教学建设与改革</w:t>
      </w:r>
      <w:r>
        <w:tab/>
      </w:r>
      <w:r>
        <w:fldChar w:fldCharType="begin"/>
      </w:r>
      <w:r>
        <w:instrText xml:space="preserve"> PAGEREF _Toc25795 \h </w:instrText>
      </w:r>
      <w:r>
        <w:fldChar w:fldCharType="separate"/>
      </w:r>
      <w:r>
        <w:t>8</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_Toc16986 </w:instrText>
      </w:r>
      <w:r>
        <w:rPr>
          <w:rFonts w:hint="eastAsia" w:ascii="仿宋" w:hAnsi="仿宋" w:eastAsia="仿宋" w:cs="仿宋"/>
          <w:szCs w:val="24"/>
        </w:rPr>
        <w:fldChar w:fldCharType="separate"/>
      </w:r>
      <w:r>
        <w:rPr>
          <w:rFonts w:hint="eastAsia" w:ascii="黑体" w:hAnsi="黑体" w:eastAsia="黑体"/>
          <w:lang w:eastAsia="zh-CN"/>
        </w:rPr>
        <w:t>（一）</w:t>
      </w:r>
      <w:r>
        <w:rPr>
          <w:rFonts w:hint="eastAsia" w:ascii="黑体" w:hAnsi="黑体" w:eastAsia="黑体"/>
        </w:rPr>
        <w:t>专业建设</w:t>
      </w:r>
      <w:r>
        <w:tab/>
      </w:r>
      <w:r>
        <w:fldChar w:fldCharType="begin"/>
      </w:r>
      <w:r>
        <w:instrText xml:space="preserve"> PAGEREF _Toc16986 \h </w:instrText>
      </w:r>
      <w:r>
        <w:fldChar w:fldCharType="separate"/>
      </w:r>
      <w:r>
        <w:t>8</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_Toc26916 </w:instrText>
      </w:r>
      <w:r>
        <w:rPr>
          <w:rFonts w:hint="eastAsia" w:ascii="仿宋" w:hAnsi="仿宋" w:eastAsia="仿宋" w:cs="仿宋"/>
          <w:szCs w:val="24"/>
        </w:rPr>
        <w:fldChar w:fldCharType="separate"/>
      </w:r>
      <w:r>
        <w:rPr>
          <w:rFonts w:hint="eastAsia" w:ascii="黑体" w:hAnsi="黑体" w:eastAsia="黑体"/>
          <w:lang w:eastAsia="zh-CN"/>
        </w:rPr>
        <w:t>（</w:t>
      </w:r>
      <w:r>
        <w:rPr>
          <w:rFonts w:hint="eastAsia" w:ascii="黑体" w:hAnsi="黑体" w:eastAsia="黑体"/>
          <w:lang w:val="en-US" w:eastAsia="zh-CN"/>
        </w:rPr>
        <w:t>二</w:t>
      </w:r>
      <w:r>
        <w:rPr>
          <w:rFonts w:hint="eastAsia" w:ascii="黑体" w:hAnsi="黑体" w:eastAsia="黑体"/>
          <w:lang w:eastAsia="zh-CN"/>
        </w:rPr>
        <w:t>）</w:t>
      </w:r>
      <w:r>
        <w:rPr>
          <w:rFonts w:hint="eastAsia" w:ascii="黑体" w:hAnsi="黑体" w:eastAsia="黑体"/>
        </w:rPr>
        <w:t>课程建设</w:t>
      </w:r>
      <w:r>
        <w:tab/>
      </w:r>
      <w:r>
        <w:fldChar w:fldCharType="begin"/>
      </w:r>
      <w:r>
        <w:instrText xml:space="preserve"> PAGEREF _Toc26916 \h </w:instrText>
      </w:r>
      <w:r>
        <w:fldChar w:fldCharType="separate"/>
      </w:r>
      <w:r>
        <w:t>9</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_Toc21512 </w:instrText>
      </w:r>
      <w:r>
        <w:rPr>
          <w:rFonts w:hint="eastAsia" w:ascii="仿宋" w:hAnsi="仿宋" w:eastAsia="仿宋" w:cs="仿宋"/>
          <w:szCs w:val="24"/>
        </w:rPr>
        <w:fldChar w:fldCharType="separate"/>
      </w:r>
      <w:r>
        <w:rPr>
          <w:rFonts w:hint="eastAsia" w:ascii="黑体" w:hAnsi="黑体" w:eastAsia="黑体"/>
          <w:lang w:eastAsia="zh-CN"/>
        </w:rPr>
        <w:t>（</w:t>
      </w:r>
      <w:r>
        <w:rPr>
          <w:rFonts w:hint="eastAsia" w:ascii="黑体" w:hAnsi="黑体" w:eastAsia="黑体"/>
          <w:lang w:val="en-US" w:eastAsia="zh-CN"/>
        </w:rPr>
        <w:t>三</w:t>
      </w:r>
      <w:r>
        <w:rPr>
          <w:rFonts w:hint="eastAsia" w:ascii="黑体" w:hAnsi="黑体" w:eastAsia="黑体"/>
          <w:lang w:eastAsia="zh-CN"/>
        </w:rPr>
        <w:t>）</w:t>
      </w:r>
      <w:r>
        <w:rPr>
          <w:rFonts w:hint="eastAsia" w:ascii="黑体" w:hAnsi="黑体" w:eastAsia="黑体"/>
        </w:rPr>
        <w:t>教材建设</w:t>
      </w:r>
      <w:r>
        <w:tab/>
      </w:r>
      <w:r>
        <w:fldChar w:fldCharType="begin"/>
      </w:r>
      <w:r>
        <w:instrText xml:space="preserve"> PAGEREF _Toc21512 \h </w:instrText>
      </w:r>
      <w:r>
        <w:fldChar w:fldCharType="separate"/>
      </w:r>
      <w:r>
        <w:t>10</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_Toc23488 </w:instrText>
      </w:r>
      <w:r>
        <w:rPr>
          <w:rFonts w:hint="eastAsia" w:ascii="仿宋" w:hAnsi="仿宋" w:eastAsia="仿宋" w:cs="仿宋"/>
          <w:szCs w:val="24"/>
        </w:rPr>
        <w:fldChar w:fldCharType="separate"/>
      </w:r>
      <w:r>
        <w:rPr>
          <w:rFonts w:hint="eastAsia" w:ascii="黑体" w:hAnsi="黑体" w:eastAsia="黑体"/>
          <w:highlight w:val="none"/>
          <w:lang w:eastAsia="zh-CN"/>
        </w:rPr>
        <w:t>（</w:t>
      </w:r>
      <w:r>
        <w:rPr>
          <w:rFonts w:hint="eastAsia" w:ascii="黑体" w:hAnsi="黑体" w:eastAsia="黑体"/>
          <w:highlight w:val="none"/>
          <w:lang w:val="en-US" w:eastAsia="zh-CN"/>
        </w:rPr>
        <w:t>四</w:t>
      </w:r>
      <w:r>
        <w:rPr>
          <w:rFonts w:hint="eastAsia" w:ascii="黑体" w:hAnsi="黑体" w:eastAsia="黑体"/>
          <w:highlight w:val="none"/>
          <w:lang w:eastAsia="zh-CN"/>
        </w:rPr>
        <w:t>）</w:t>
      </w:r>
      <w:r>
        <w:rPr>
          <w:rFonts w:hint="eastAsia" w:ascii="黑体" w:hAnsi="黑体" w:eastAsia="黑体"/>
          <w:highlight w:val="none"/>
        </w:rPr>
        <w:t>课堂教学</w:t>
      </w:r>
      <w:r>
        <w:tab/>
      </w:r>
      <w:r>
        <w:fldChar w:fldCharType="begin"/>
      </w:r>
      <w:r>
        <w:instrText xml:space="preserve"> PAGEREF _Toc23488 \h </w:instrText>
      </w:r>
      <w:r>
        <w:fldChar w:fldCharType="separate"/>
      </w:r>
      <w:r>
        <w:t>10</w:t>
      </w:r>
      <w:r>
        <w:fldChar w:fldCharType="end"/>
      </w:r>
      <w:r>
        <w:rPr>
          <w:rFonts w:hint="eastAsia" w:ascii="仿宋" w:hAnsi="仿宋" w:eastAsia="仿宋" w:cs="仿宋"/>
          <w:color w:val="auto"/>
          <w:szCs w:val="24"/>
        </w:rPr>
        <w:fldChar w:fldCharType="end"/>
      </w:r>
    </w:p>
    <w:p>
      <w:pPr>
        <w:pStyle w:val="9"/>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_Toc30939 </w:instrText>
      </w:r>
      <w:r>
        <w:rPr>
          <w:rFonts w:hint="eastAsia" w:ascii="仿宋" w:hAnsi="仿宋" w:eastAsia="仿宋" w:cs="仿宋"/>
          <w:szCs w:val="24"/>
        </w:rPr>
        <w:fldChar w:fldCharType="separate"/>
      </w:r>
      <w:r>
        <w:rPr>
          <w:rFonts w:hint="eastAsia" w:ascii="黑体" w:hAnsi="黑体" w:cs="黑体"/>
          <w:highlight w:val="none"/>
          <w:lang w:val="en-US" w:eastAsia="zh-CN"/>
        </w:rPr>
        <w:t>1.</w:t>
      </w:r>
      <w:r>
        <w:rPr>
          <w:rFonts w:hint="eastAsia" w:ascii="黑体" w:hAnsi="黑体" w:cs="黑体"/>
          <w:highlight w:val="none"/>
        </w:rPr>
        <w:t>课堂教学规模</w:t>
      </w:r>
      <w:r>
        <w:tab/>
      </w:r>
      <w:r>
        <w:fldChar w:fldCharType="begin"/>
      </w:r>
      <w:r>
        <w:instrText xml:space="preserve"> PAGEREF _Toc30939 \h </w:instrText>
      </w:r>
      <w:r>
        <w:fldChar w:fldCharType="separate"/>
      </w:r>
      <w:r>
        <w:t>10</w:t>
      </w:r>
      <w:r>
        <w:fldChar w:fldCharType="end"/>
      </w:r>
      <w:r>
        <w:rPr>
          <w:rFonts w:hint="eastAsia" w:ascii="仿宋" w:hAnsi="仿宋" w:eastAsia="仿宋" w:cs="仿宋"/>
          <w:color w:val="auto"/>
          <w:szCs w:val="24"/>
        </w:rPr>
        <w:fldChar w:fldCharType="end"/>
      </w:r>
    </w:p>
    <w:p>
      <w:pPr>
        <w:pStyle w:val="9"/>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_Toc7285 </w:instrText>
      </w:r>
      <w:r>
        <w:rPr>
          <w:rFonts w:hint="eastAsia" w:ascii="仿宋" w:hAnsi="仿宋" w:eastAsia="仿宋" w:cs="仿宋"/>
          <w:szCs w:val="24"/>
        </w:rPr>
        <w:fldChar w:fldCharType="separate"/>
      </w:r>
      <w:r>
        <w:rPr>
          <w:rFonts w:hint="eastAsia" w:ascii="黑体" w:hAnsi="黑体" w:cs="黑体"/>
          <w:highlight w:val="none"/>
          <w:lang w:val="en-US" w:eastAsia="zh-CN"/>
        </w:rPr>
        <w:t>2.</w:t>
      </w:r>
      <w:r>
        <w:rPr>
          <w:rFonts w:hint="eastAsia" w:ascii="黑体" w:hAnsi="黑体" w:cs="黑体"/>
          <w:highlight w:val="none"/>
        </w:rPr>
        <w:t>课堂教学改革</w:t>
      </w:r>
      <w:r>
        <w:tab/>
      </w:r>
      <w:r>
        <w:fldChar w:fldCharType="begin"/>
      </w:r>
      <w:r>
        <w:instrText xml:space="preserve"> PAGEREF _Toc7285 \h </w:instrText>
      </w:r>
      <w:r>
        <w:fldChar w:fldCharType="separate"/>
      </w:r>
      <w:r>
        <w:t>10</w:t>
      </w:r>
      <w:r>
        <w:fldChar w:fldCharType="end"/>
      </w:r>
      <w:r>
        <w:rPr>
          <w:rFonts w:hint="eastAsia" w:ascii="仿宋" w:hAnsi="仿宋" w:eastAsia="仿宋" w:cs="仿宋"/>
          <w:color w:val="auto"/>
          <w:szCs w:val="24"/>
        </w:rPr>
        <w:fldChar w:fldCharType="end"/>
      </w:r>
    </w:p>
    <w:p>
      <w:pPr>
        <w:pStyle w:val="9"/>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_Toc14809 </w:instrText>
      </w:r>
      <w:r>
        <w:rPr>
          <w:rFonts w:hint="eastAsia" w:ascii="仿宋" w:hAnsi="仿宋" w:eastAsia="仿宋" w:cs="仿宋"/>
          <w:szCs w:val="24"/>
        </w:rPr>
        <w:fldChar w:fldCharType="separate"/>
      </w:r>
      <w:r>
        <w:rPr>
          <w:rFonts w:hint="eastAsia" w:ascii="黑体" w:hAnsi="黑体" w:cs="黑体"/>
          <w:highlight w:val="none"/>
          <w:lang w:val="en-US" w:eastAsia="zh-CN"/>
        </w:rPr>
        <w:t>3.教授为本科生授课情况</w:t>
      </w:r>
      <w:r>
        <w:tab/>
      </w:r>
      <w:r>
        <w:fldChar w:fldCharType="begin"/>
      </w:r>
      <w:r>
        <w:instrText xml:space="preserve"> PAGEREF _Toc14809 \h </w:instrText>
      </w:r>
      <w:r>
        <w:fldChar w:fldCharType="separate"/>
      </w:r>
      <w:r>
        <w:t>11</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_Toc7746 </w:instrText>
      </w:r>
      <w:r>
        <w:rPr>
          <w:rFonts w:hint="eastAsia" w:ascii="仿宋" w:hAnsi="仿宋" w:eastAsia="仿宋" w:cs="仿宋"/>
          <w:szCs w:val="24"/>
        </w:rPr>
        <w:fldChar w:fldCharType="separate"/>
      </w:r>
      <w:r>
        <w:rPr>
          <w:rFonts w:hint="eastAsia" w:ascii="黑体" w:hAnsi="黑体" w:eastAsia="黑体"/>
          <w:lang w:eastAsia="zh-CN"/>
        </w:rPr>
        <w:t>（</w:t>
      </w:r>
      <w:r>
        <w:rPr>
          <w:rFonts w:hint="eastAsia" w:ascii="黑体" w:hAnsi="黑体" w:eastAsia="黑体"/>
          <w:lang w:val="en-US" w:eastAsia="zh-CN"/>
        </w:rPr>
        <w:t>五</w:t>
      </w:r>
      <w:r>
        <w:rPr>
          <w:rFonts w:hint="eastAsia" w:ascii="黑体" w:hAnsi="黑体" w:eastAsia="黑体"/>
          <w:lang w:eastAsia="zh-CN"/>
        </w:rPr>
        <w:t>）</w:t>
      </w:r>
      <w:r>
        <w:rPr>
          <w:rFonts w:hint="eastAsia" w:ascii="黑体" w:hAnsi="黑体" w:eastAsia="黑体"/>
        </w:rPr>
        <w:t xml:space="preserve"> 实践教学</w:t>
      </w:r>
      <w:r>
        <w:tab/>
      </w:r>
      <w:r>
        <w:fldChar w:fldCharType="begin"/>
      </w:r>
      <w:r>
        <w:instrText xml:space="preserve"> PAGEREF _Toc7746 \h </w:instrText>
      </w:r>
      <w:r>
        <w:fldChar w:fldCharType="separate"/>
      </w:r>
      <w:r>
        <w:t>11</w:t>
      </w:r>
      <w:r>
        <w:fldChar w:fldCharType="end"/>
      </w:r>
      <w:r>
        <w:rPr>
          <w:rFonts w:hint="eastAsia" w:ascii="仿宋" w:hAnsi="仿宋" w:eastAsia="仿宋" w:cs="仿宋"/>
          <w:color w:val="auto"/>
          <w:szCs w:val="24"/>
        </w:rPr>
        <w:fldChar w:fldCharType="end"/>
      </w:r>
    </w:p>
    <w:p>
      <w:pPr>
        <w:pStyle w:val="9"/>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_Toc31671 </w:instrText>
      </w:r>
      <w:r>
        <w:rPr>
          <w:rFonts w:hint="eastAsia" w:ascii="仿宋" w:hAnsi="仿宋" w:eastAsia="仿宋" w:cs="仿宋"/>
          <w:szCs w:val="24"/>
        </w:rPr>
        <w:fldChar w:fldCharType="separate"/>
      </w:r>
      <w:r>
        <w:rPr>
          <w:rFonts w:hint="eastAsia"/>
          <w:lang w:val="en-US" w:eastAsia="zh-CN"/>
        </w:rPr>
        <w:t xml:space="preserve">1. </w:t>
      </w:r>
      <w:r>
        <w:rPr>
          <w:rFonts w:hint="eastAsia"/>
        </w:rPr>
        <w:t>实践教学体系</w:t>
      </w:r>
      <w:r>
        <w:tab/>
      </w:r>
      <w:r>
        <w:fldChar w:fldCharType="begin"/>
      </w:r>
      <w:r>
        <w:instrText xml:space="preserve"> PAGEREF _Toc31671 \h </w:instrText>
      </w:r>
      <w:r>
        <w:fldChar w:fldCharType="separate"/>
      </w:r>
      <w:r>
        <w:t>11</w:t>
      </w:r>
      <w:r>
        <w:fldChar w:fldCharType="end"/>
      </w:r>
      <w:r>
        <w:rPr>
          <w:rFonts w:hint="eastAsia" w:ascii="仿宋" w:hAnsi="仿宋" w:eastAsia="仿宋" w:cs="仿宋"/>
          <w:color w:val="auto"/>
          <w:szCs w:val="24"/>
        </w:rPr>
        <w:fldChar w:fldCharType="end"/>
      </w:r>
    </w:p>
    <w:p>
      <w:pPr>
        <w:pStyle w:val="9"/>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_Toc16890 </w:instrText>
      </w:r>
      <w:r>
        <w:rPr>
          <w:rFonts w:hint="eastAsia" w:ascii="仿宋" w:hAnsi="仿宋" w:eastAsia="仿宋" w:cs="仿宋"/>
          <w:szCs w:val="24"/>
        </w:rPr>
        <w:fldChar w:fldCharType="separate"/>
      </w:r>
      <w:r>
        <w:rPr>
          <w:rFonts w:hint="eastAsia" w:ascii="黑体" w:hAnsi="黑体" w:cs="黑体"/>
          <w:lang w:val="en-US" w:eastAsia="zh-CN"/>
        </w:rPr>
        <w:t>2.</w:t>
      </w:r>
      <w:r>
        <w:rPr>
          <w:rFonts w:hint="eastAsia" w:ascii="黑体" w:hAnsi="黑体" w:cs="黑体"/>
        </w:rPr>
        <w:t>实验教学</w:t>
      </w:r>
      <w:r>
        <w:tab/>
      </w:r>
      <w:r>
        <w:fldChar w:fldCharType="begin"/>
      </w:r>
      <w:r>
        <w:instrText xml:space="preserve"> PAGEREF _Toc16890 \h </w:instrText>
      </w:r>
      <w:r>
        <w:fldChar w:fldCharType="separate"/>
      </w:r>
      <w:r>
        <w:t>12</w:t>
      </w:r>
      <w:r>
        <w:fldChar w:fldCharType="end"/>
      </w:r>
      <w:r>
        <w:rPr>
          <w:rFonts w:hint="eastAsia" w:ascii="仿宋" w:hAnsi="仿宋" w:eastAsia="仿宋" w:cs="仿宋"/>
          <w:color w:val="auto"/>
          <w:szCs w:val="24"/>
        </w:rPr>
        <w:fldChar w:fldCharType="end"/>
      </w:r>
    </w:p>
    <w:p>
      <w:pPr>
        <w:pStyle w:val="9"/>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_Toc5951 </w:instrText>
      </w:r>
      <w:r>
        <w:rPr>
          <w:rFonts w:hint="eastAsia" w:ascii="仿宋" w:hAnsi="仿宋" w:eastAsia="仿宋" w:cs="仿宋"/>
          <w:szCs w:val="24"/>
        </w:rPr>
        <w:fldChar w:fldCharType="separate"/>
      </w:r>
      <w:r>
        <w:rPr>
          <w:rFonts w:hint="eastAsia" w:ascii="黑体" w:hAnsi="黑体" w:cs="黑体"/>
          <w:lang w:val="en-US" w:eastAsia="zh-CN"/>
        </w:rPr>
        <w:t>3.</w:t>
      </w:r>
      <w:r>
        <w:rPr>
          <w:rFonts w:hint="eastAsia" w:ascii="黑体" w:hAnsi="黑体" w:cs="黑体"/>
        </w:rPr>
        <w:t>实习实践</w:t>
      </w:r>
      <w:r>
        <w:tab/>
      </w:r>
      <w:r>
        <w:fldChar w:fldCharType="begin"/>
      </w:r>
      <w:r>
        <w:instrText xml:space="preserve"> PAGEREF _Toc5951 \h </w:instrText>
      </w:r>
      <w:r>
        <w:fldChar w:fldCharType="separate"/>
      </w:r>
      <w:r>
        <w:t>12</w:t>
      </w:r>
      <w:r>
        <w:fldChar w:fldCharType="end"/>
      </w:r>
      <w:r>
        <w:rPr>
          <w:rFonts w:hint="eastAsia" w:ascii="仿宋" w:hAnsi="仿宋" w:eastAsia="仿宋" w:cs="仿宋"/>
          <w:color w:val="auto"/>
          <w:szCs w:val="24"/>
        </w:rPr>
        <w:fldChar w:fldCharType="end"/>
      </w:r>
    </w:p>
    <w:p>
      <w:pPr>
        <w:pStyle w:val="9"/>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_Toc4977 </w:instrText>
      </w:r>
      <w:r>
        <w:rPr>
          <w:rFonts w:hint="eastAsia" w:ascii="仿宋" w:hAnsi="仿宋" w:eastAsia="仿宋" w:cs="仿宋"/>
          <w:szCs w:val="24"/>
        </w:rPr>
        <w:fldChar w:fldCharType="separate"/>
      </w:r>
      <w:r>
        <w:rPr>
          <w:rFonts w:hint="eastAsia" w:ascii="黑体" w:hAnsi="黑体" w:cs="黑体"/>
        </w:rPr>
        <w:t>4.毕业设计（论文）</w:t>
      </w:r>
      <w:r>
        <w:tab/>
      </w:r>
      <w:r>
        <w:fldChar w:fldCharType="begin"/>
      </w:r>
      <w:r>
        <w:instrText xml:space="preserve"> PAGEREF _Toc4977 \h </w:instrText>
      </w:r>
      <w:r>
        <w:fldChar w:fldCharType="separate"/>
      </w:r>
      <w:r>
        <w:t>12</w:t>
      </w:r>
      <w:r>
        <w:fldChar w:fldCharType="end"/>
      </w:r>
      <w:r>
        <w:rPr>
          <w:rFonts w:hint="eastAsia" w:ascii="仿宋" w:hAnsi="仿宋" w:eastAsia="仿宋" w:cs="仿宋"/>
          <w:color w:val="auto"/>
          <w:szCs w:val="24"/>
        </w:rPr>
        <w:fldChar w:fldCharType="end"/>
      </w:r>
    </w:p>
    <w:p>
      <w:pPr>
        <w:pStyle w:val="9"/>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_Toc3654 </w:instrText>
      </w:r>
      <w:r>
        <w:rPr>
          <w:rFonts w:hint="eastAsia" w:ascii="仿宋" w:hAnsi="仿宋" w:eastAsia="仿宋" w:cs="仿宋"/>
          <w:szCs w:val="24"/>
        </w:rPr>
        <w:fldChar w:fldCharType="separate"/>
      </w:r>
      <w:r>
        <w:rPr>
          <w:rFonts w:hint="eastAsia" w:ascii="黑体" w:hAnsi="黑体" w:cs="黑体"/>
          <w:lang w:val="en-US" w:eastAsia="zh-CN"/>
        </w:rPr>
        <w:t>5.</w:t>
      </w:r>
      <w:r>
        <w:rPr>
          <w:rFonts w:hint="eastAsia" w:ascii="黑体" w:hAnsi="黑体" w:cs="黑体"/>
        </w:rPr>
        <w:t>实践创新能力培养</w:t>
      </w:r>
      <w:r>
        <w:tab/>
      </w:r>
      <w:r>
        <w:fldChar w:fldCharType="begin"/>
      </w:r>
      <w:r>
        <w:instrText xml:space="preserve"> PAGEREF _Toc3654 \h </w:instrText>
      </w:r>
      <w:r>
        <w:fldChar w:fldCharType="separate"/>
      </w:r>
      <w:r>
        <w:t>13</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_Toc25914 </w:instrText>
      </w:r>
      <w:r>
        <w:rPr>
          <w:rFonts w:hint="eastAsia" w:ascii="仿宋" w:hAnsi="仿宋" w:eastAsia="仿宋" w:cs="仿宋"/>
          <w:szCs w:val="24"/>
        </w:rPr>
        <w:fldChar w:fldCharType="separate"/>
      </w:r>
      <w:r>
        <w:rPr>
          <w:rFonts w:hint="eastAsia" w:ascii="黑体" w:hAnsi="黑体" w:eastAsia="黑体"/>
          <w:highlight w:val="none"/>
          <w:lang w:eastAsia="zh-CN"/>
        </w:rPr>
        <w:t>（</w:t>
      </w:r>
      <w:r>
        <w:rPr>
          <w:rFonts w:hint="eastAsia" w:ascii="黑体" w:hAnsi="黑体" w:eastAsia="黑体"/>
          <w:highlight w:val="none"/>
          <w:lang w:val="en-US" w:eastAsia="zh-CN"/>
        </w:rPr>
        <w:t>六</w:t>
      </w:r>
      <w:r>
        <w:rPr>
          <w:rFonts w:hint="eastAsia" w:ascii="黑体" w:hAnsi="黑体" w:eastAsia="黑体"/>
          <w:highlight w:val="none"/>
          <w:lang w:eastAsia="zh-CN"/>
        </w:rPr>
        <w:t>）</w:t>
      </w:r>
      <w:r>
        <w:rPr>
          <w:rFonts w:hint="eastAsia" w:ascii="黑体" w:hAnsi="黑体" w:eastAsia="黑体"/>
          <w:highlight w:val="none"/>
        </w:rPr>
        <w:t>艺术教育</w:t>
      </w:r>
      <w:r>
        <w:tab/>
      </w:r>
      <w:r>
        <w:fldChar w:fldCharType="begin"/>
      </w:r>
      <w:r>
        <w:instrText xml:space="preserve"> PAGEREF _Toc25914 \h </w:instrText>
      </w:r>
      <w:r>
        <w:fldChar w:fldCharType="separate"/>
      </w:r>
      <w:r>
        <w:t>13</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_Toc2292 </w:instrText>
      </w:r>
      <w:r>
        <w:rPr>
          <w:rFonts w:hint="eastAsia" w:ascii="仿宋" w:hAnsi="仿宋" w:eastAsia="仿宋" w:cs="仿宋"/>
          <w:szCs w:val="24"/>
        </w:rPr>
        <w:fldChar w:fldCharType="separate"/>
      </w:r>
      <w:r>
        <w:rPr>
          <w:rFonts w:hint="eastAsia" w:ascii="黑体" w:hAnsi="黑体" w:eastAsia="黑体"/>
          <w:highlight w:val="none"/>
          <w:lang w:eastAsia="zh-CN"/>
        </w:rPr>
        <w:t>（</w:t>
      </w:r>
      <w:r>
        <w:rPr>
          <w:rFonts w:hint="eastAsia" w:ascii="黑体" w:hAnsi="黑体" w:eastAsia="黑体"/>
          <w:highlight w:val="none"/>
          <w:lang w:val="en-US" w:eastAsia="zh-CN"/>
        </w:rPr>
        <w:t>七</w:t>
      </w:r>
      <w:r>
        <w:rPr>
          <w:rFonts w:hint="eastAsia" w:ascii="黑体" w:hAnsi="黑体" w:eastAsia="黑体"/>
          <w:highlight w:val="none"/>
          <w:lang w:eastAsia="zh-CN"/>
        </w:rPr>
        <w:t>）</w:t>
      </w:r>
      <w:r>
        <w:rPr>
          <w:rFonts w:hint="eastAsia" w:ascii="黑体" w:hAnsi="黑体" w:eastAsia="黑体"/>
          <w:highlight w:val="none"/>
        </w:rPr>
        <w:t>合作交流</w:t>
      </w:r>
      <w:r>
        <w:tab/>
      </w:r>
      <w:r>
        <w:fldChar w:fldCharType="begin"/>
      </w:r>
      <w:r>
        <w:instrText xml:space="preserve"> PAGEREF _Toc2292 \h </w:instrText>
      </w:r>
      <w:r>
        <w:fldChar w:fldCharType="separate"/>
      </w:r>
      <w:r>
        <w:t>13</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_Toc26417 </w:instrText>
      </w:r>
      <w:r>
        <w:rPr>
          <w:rFonts w:hint="eastAsia" w:ascii="仿宋" w:hAnsi="仿宋" w:eastAsia="仿宋" w:cs="仿宋"/>
          <w:szCs w:val="24"/>
        </w:rPr>
        <w:fldChar w:fldCharType="separate"/>
      </w:r>
      <w:r>
        <w:rPr>
          <w:rFonts w:hint="eastAsia" w:ascii="黑体" w:hAnsi="黑体" w:eastAsia="黑体"/>
          <w:lang w:eastAsia="zh-CN"/>
        </w:rPr>
        <w:t>（</w:t>
      </w:r>
      <w:r>
        <w:rPr>
          <w:rFonts w:hint="eastAsia" w:ascii="黑体" w:hAnsi="黑体" w:eastAsia="黑体"/>
          <w:lang w:val="en-US" w:eastAsia="zh-CN"/>
        </w:rPr>
        <w:t>八</w:t>
      </w:r>
      <w:r>
        <w:rPr>
          <w:rFonts w:hint="eastAsia" w:ascii="黑体" w:hAnsi="黑体" w:eastAsia="黑体"/>
          <w:lang w:eastAsia="zh-CN"/>
        </w:rPr>
        <w:t>）</w:t>
      </w:r>
      <w:r>
        <w:rPr>
          <w:rFonts w:hint="eastAsia" w:ascii="黑体" w:hAnsi="黑体" w:eastAsia="黑体"/>
        </w:rPr>
        <w:t>教改成果</w:t>
      </w:r>
      <w:r>
        <w:tab/>
      </w:r>
      <w:r>
        <w:fldChar w:fldCharType="begin"/>
      </w:r>
      <w:r>
        <w:instrText xml:space="preserve"> PAGEREF _Toc26417 \h </w:instrText>
      </w:r>
      <w:r>
        <w:fldChar w:fldCharType="separate"/>
      </w:r>
      <w:r>
        <w:t>14</w:t>
      </w:r>
      <w:r>
        <w:fldChar w:fldCharType="end"/>
      </w:r>
      <w:r>
        <w:rPr>
          <w:rFonts w:hint="eastAsia" w:ascii="仿宋" w:hAnsi="仿宋" w:eastAsia="仿宋" w:cs="仿宋"/>
          <w:color w:val="auto"/>
          <w:szCs w:val="24"/>
        </w:rPr>
        <w:fldChar w:fldCharType="end"/>
      </w:r>
    </w:p>
    <w:p>
      <w:pPr>
        <w:pStyle w:val="14"/>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_Toc26284 </w:instrText>
      </w:r>
      <w:r>
        <w:rPr>
          <w:rFonts w:hint="eastAsia" w:ascii="仿宋" w:hAnsi="仿宋" w:eastAsia="仿宋" w:cs="仿宋"/>
          <w:szCs w:val="24"/>
        </w:rPr>
        <w:fldChar w:fldCharType="separate"/>
      </w:r>
      <w:r>
        <w:rPr>
          <w:rFonts w:hint="eastAsia"/>
          <w:lang w:val="en-US" w:eastAsia="zh-CN"/>
        </w:rPr>
        <w:t>四、</w:t>
      </w:r>
      <w:r>
        <w:rPr>
          <w:rFonts w:hint="eastAsia"/>
        </w:rPr>
        <w:t>质量监控与保障</w:t>
      </w:r>
      <w:r>
        <w:tab/>
      </w:r>
      <w:r>
        <w:fldChar w:fldCharType="begin"/>
      </w:r>
      <w:r>
        <w:instrText xml:space="preserve"> PAGEREF _Toc26284 \h </w:instrText>
      </w:r>
      <w:r>
        <w:fldChar w:fldCharType="separate"/>
      </w:r>
      <w:r>
        <w:t>15</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_Toc30300 </w:instrText>
      </w:r>
      <w:r>
        <w:rPr>
          <w:rFonts w:hint="eastAsia" w:ascii="仿宋" w:hAnsi="仿宋" w:eastAsia="仿宋" w:cs="仿宋"/>
          <w:szCs w:val="24"/>
        </w:rPr>
        <w:fldChar w:fldCharType="separate"/>
      </w:r>
      <w:r>
        <w:rPr>
          <w:rFonts w:hint="eastAsia" w:ascii="黑体" w:hAnsi="黑体" w:eastAsia="黑体"/>
          <w:lang w:eastAsia="zh-CN"/>
        </w:rPr>
        <w:t>（</w:t>
      </w:r>
      <w:r>
        <w:rPr>
          <w:rFonts w:hint="eastAsia" w:ascii="黑体" w:hAnsi="黑体" w:eastAsia="黑体"/>
          <w:lang w:val="en-US" w:eastAsia="zh-CN"/>
        </w:rPr>
        <w:t>一</w:t>
      </w:r>
      <w:r>
        <w:rPr>
          <w:rFonts w:hint="eastAsia" w:ascii="黑体" w:hAnsi="黑体" w:eastAsia="黑体"/>
          <w:lang w:eastAsia="zh-CN"/>
        </w:rPr>
        <w:t>）</w:t>
      </w:r>
      <w:r>
        <w:rPr>
          <w:rFonts w:hint="eastAsia" w:ascii="黑体" w:hAnsi="黑体" w:eastAsia="黑体"/>
        </w:rPr>
        <w:t>强化教学工作中心地位</w:t>
      </w:r>
      <w:r>
        <w:tab/>
      </w:r>
      <w:r>
        <w:fldChar w:fldCharType="begin"/>
      </w:r>
      <w:r>
        <w:instrText xml:space="preserve"> PAGEREF _Toc30300 \h </w:instrText>
      </w:r>
      <w:r>
        <w:fldChar w:fldCharType="separate"/>
      </w:r>
      <w:r>
        <w:t>15</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_Toc18135 </w:instrText>
      </w:r>
      <w:r>
        <w:rPr>
          <w:rFonts w:hint="eastAsia" w:ascii="仿宋" w:hAnsi="仿宋" w:eastAsia="仿宋" w:cs="仿宋"/>
          <w:szCs w:val="24"/>
        </w:rPr>
        <w:fldChar w:fldCharType="separate"/>
      </w:r>
      <w:r>
        <w:rPr>
          <w:rFonts w:hint="eastAsia" w:ascii="黑体" w:hAnsi="黑体" w:eastAsia="黑体"/>
          <w:lang w:eastAsia="zh-CN"/>
        </w:rPr>
        <w:t>（</w:t>
      </w:r>
      <w:r>
        <w:rPr>
          <w:rFonts w:hint="eastAsia" w:ascii="黑体" w:hAnsi="黑体" w:eastAsia="黑体"/>
          <w:lang w:val="en-US" w:eastAsia="zh-CN"/>
        </w:rPr>
        <w:t>二</w:t>
      </w:r>
      <w:r>
        <w:rPr>
          <w:rFonts w:hint="eastAsia" w:ascii="黑体" w:hAnsi="黑体" w:eastAsia="黑体"/>
          <w:lang w:eastAsia="zh-CN"/>
        </w:rPr>
        <w:t>）</w:t>
      </w:r>
      <w:r>
        <w:rPr>
          <w:rFonts w:hint="eastAsia" w:ascii="黑体" w:hAnsi="黑体" w:eastAsia="黑体"/>
        </w:rPr>
        <w:t>加强教学质量过程管理与监控</w:t>
      </w:r>
      <w:r>
        <w:tab/>
      </w:r>
      <w:r>
        <w:fldChar w:fldCharType="begin"/>
      </w:r>
      <w:r>
        <w:instrText xml:space="preserve"> PAGEREF _Toc18135 \h </w:instrText>
      </w:r>
      <w:r>
        <w:fldChar w:fldCharType="separate"/>
      </w:r>
      <w:r>
        <w:t>16</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_Toc6389 </w:instrText>
      </w:r>
      <w:r>
        <w:rPr>
          <w:rFonts w:hint="eastAsia" w:ascii="仿宋" w:hAnsi="仿宋" w:eastAsia="仿宋" w:cs="仿宋"/>
          <w:szCs w:val="24"/>
        </w:rPr>
        <w:fldChar w:fldCharType="separate"/>
      </w:r>
      <w:r>
        <w:rPr>
          <w:rFonts w:hint="eastAsia" w:ascii="黑体" w:hAnsi="黑体" w:eastAsia="黑体"/>
          <w:lang w:eastAsia="zh-CN"/>
        </w:rPr>
        <w:t>（</w:t>
      </w:r>
      <w:r>
        <w:rPr>
          <w:rFonts w:hint="eastAsia" w:ascii="黑体" w:hAnsi="黑体" w:eastAsia="黑体"/>
          <w:lang w:val="en-US" w:eastAsia="zh-CN"/>
        </w:rPr>
        <w:t>三</w:t>
      </w:r>
      <w:r>
        <w:rPr>
          <w:rFonts w:hint="eastAsia" w:ascii="黑体" w:hAnsi="黑体" w:eastAsia="黑体"/>
          <w:lang w:eastAsia="zh-CN"/>
        </w:rPr>
        <w:t>）</w:t>
      </w:r>
      <w:r>
        <w:rPr>
          <w:rFonts w:hint="eastAsia" w:ascii="黑体" w:hAnsi="黑体" w:eastAsia="黑体"/>
        </w:rPr>
        <w:t>组织开展教学专项考核</w:t>
      </w:r>
      <w:r>
        <w:tab/>
      </w:r>
      <w:r>
        <w:fldChar w:fldCharType="begin"/>
      </w:r>
      <w:r>
        <w:instrText xml:space="preserve"> PAGEREF _Toc6389 \h </w:instrText>
      </w:r>
      <w:r>
        <w:fldChar w:fldCharType="separate"/>
      </w:r>
      <w:r>
        <w:t>16</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_Toc20827 </w:instrText>
      </w:r>
      <w:r>
        <w:rPr>
          <w:rFonts w:hint="eastAsia" w:ascii="仿宋" w:hAnsi="仿宋" w:eastAsia="仿宋" w:cs="仿宋"/>
          <w:szCs w:val="24"/>
        </w:rPr>
        <w:fldChar w:fldCharType="separate"/>
      </w:r>
      <w:r>
        <w:rPr>
          <w:rFonts w:hint="eastAsia" w:ascii="黑体" w:hAnsi="黑体" w:eastAsia="黑体"/>
          <w:lang w:eastAsia="zh-CN"/>
        </w:rPr>
        <w:t>（</w:t>
      </w:r>
      <w:r>
        <w:rPr>
          <w:rFonts w:hint="eastAsia" w:ascii="黑体" w:hAnsi="黑体" w:eastAsia="黑体"/>
          <w:lang w:val="en-US" w:eastAsia="zh-CN"/>
        </w:rPr>
        <w:t>四</w:t>
      </w:r>
      <w:r>
        <w:rPr>
          <w:rFonts w:hint="eastAsia" w:ascii="黑体" w:hAnsi="黑体" w:eastAsia="黑体"/>
          <w:lang w:eastAsia="zh-CN"/>
        </w:rPr>
        <w:t>）</w:t>
      </w:r>
      <w:r>
        <w:rPr>
          <w:rFonts w:hint="eastAsia" w:ascii="黑体" w:hAnsi="黑体" w:eastAsia="黑体"/>
        </w:rPr>
        <w:t>加强学生学业指导与管理</w:t>
      </w:r>
      <w:r>
        <w:tab/>
      </w:r>
      <w:r>
        <w:fldChar w:fldCharType="begin"/>
      </w:r>
      <w:r>
        <w:instrText xml:space="preserve"> PAGEREF _Toc20827 \h </w:instrText>
      </w:r>
      <w:r>
        <w:fldChar w:fldCharType="separate"/>
      </w:r>
      <w:r>
        <w:t>17</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_Toc28567 </w:instrText>
      </w:r>
      <w:r>
        <w:rPr>
          <w:rFonts w:hint="eastAsia" w:ascii="仿宋" w:hAnsi="仿宋" w:eastAsia="仿宋" w:cs="仿宋"/>
          <w:szCs w:val="24"/>
        </w:rPr>
        <w:fldChar w:fldCharType="separate"/>
      </w:r>
      <w:r>
        <w:rPr>
          <w:rFonts w:hint="eastAsia" w:ascii="黑体" w:hAnsi="黑体" w:eastAsia="黑体"/>
          <w:highlight w:val="none"/>
          <w:lang w:eastAsia="zh-CN"/>
        </w:rPr>
        <w:t>（</w:t>
      </w:r>
      <w:r>
        <w:rPr>
          <w:rFonts w:hint="eastAsia" w:ascii="黑体" w:hAnsi="黑体" w:eastAsia="黑体"/>
          <w:highlight w:val="none"/>
          <w:lang w:val="en-US" w:eastAsia="zh-CN"/>
        </w:rPr>
        <w:t>五</w:t>
      </w:r>
      <w:r>
        <w:rPr>
          <w:rFonts w:hint="eastAsia" w:ascii="黑体" w:hAnsi="黑体" w:eastAsia="黑体"/>
          <w:highlight w:val="none"/>
          <w:lang w:eastAsia="zh-CN"/>
        </w:rPr>
        <w:t>）</w:t>
      </w:r>
      <w:r>
        <w:rPr>
          <w:rFonts w:hint="eastAsia" w:ascii="黑体" w:hAnsi="黑体" w:eastAsia="黑体"/>
          <w:highlight w:val="none"/>
        </w:rPr>
        <w:t>提升管理队伍整体素质</w:t>
      </w:r>
      <w:r>
        <w:tab/>
      </w:r>
      <w:r>
        <w:fldChar w:fldCharType="begin"/>
      </w:r>
      <w:r>
        <w:instrText xml:space="preserve"> PAGEREF _Toc28567 \h </w:instrText>
      </w:r>
      <w:r>
        <w:fldChar w:fldCharType="separate"/>
      </w:r>
      <w:r>
        <w:t>17</w:t>
      </w:r>
      <w:r>
        <w:fldChar w:fldCharType="end"/>
      </w:r>
      <w:r>
        <w:rPr>
          <w:rFonts w:hint="eastAsia" w:ascii="仿宋" w:hAnsi="仿宋" w:eastAsia="仿宋" w:cs="仿宋"/>
          <w:color w:val="auto"/>
          <w:szCs w:val="24"/>
        </w:rPr>
        <w:fldChar w:fldCharType="end"/>
      </w:r>
    </w:p>
    <w:p>
      <w:pPr>
        <w:pStyle w:val="14"/>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_Toc910 </w:instrText>
      </w:r>
      <w:r>
        <w:rPr>
          <w:rFonts w:hint="eastAsia" w:ascii="仿宋" w:hAnsi="仿宋" w:eastAsia="仿宋" w:cs="仿宋"/>
          <w:szCs w:val="24"/>
        </w:rPr>
        <w:fldChar w:fldCharType="separate"/>
      </w:r>
      <w:r>
        <w:rPr>
          <w:rFonts w:hint="eastAsia"/>
          <w:lang w:val="en-US" w:eastAsia="zh-CN"/>
        </w:rPr>
        <w:t>五、</w:t>
      </w:r>
      <w:r>
        <w:rPr>
          <w:rFonts w:hint="eastAsia"/>
        </w:rPr>
        <w:t>学生学习效果</w:t>
      </w:r>
      <w:r>
        <w:tab/>
      </w:r>
      <w:r>
        <w:fldChar w:fldCharType="begin"/>
      </w:r>
      <w:r>
        <w:instrText xml:space="preserve"> PAGEREF _Toc910 \h </w:instrText>
      </w:r>
      <w:r>
        <w:fldChar w:fldCharType="separate"/>
      </w:r>
      <w:r>
        <w:t>18</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_Toc27864 </w:instrText>
      </w:r>
      <w:r>
        <w:rPr>
          <w:rFonts w:hint="eastAsia" w:ascii="仿宋" w:hAnsi="仿宋" w:eastAsia="仿宋" w:cs="仿宋"/>
          <w:szCs w:val="24"/>
        </w:rPr>
        <w:fldChar w:fldCharType="separate"/>
      </w:r>
      <w:r>
        <w:rPr>
          <w:rFonts w:hint="eastAsia" w:ascii="黑体" w:hAnsi="黑体" w:eastAsia="黑体"/>
          <w:highlight w:val="none"/>
          <w:lang w:eastAsia="zh-CN"/>
        </w:rPr>
        <w:t>（</w:t>
      </w:r>
      <w:r>
        <w:rPr>
          <w:rFonts w:hint="eastAsia" w:ascii="黑体" w:hAnsi="黑体" w:eastAsia="黑体"/>
          <w:highlight w:val="none"/>
          <w:lang w:val="en-US" w:eastAsia="zh-CN"/>
        </w:rPr>
        <w:t>一</w:t>
      </w:r>
      <w:r>
        <w:rPr>
          <w:rFonts w:hint="eastAsia" w:ascii="黑体" w:hAnsi="黑体" w:eastAsia="黑体"/>
          <w:highlight w:val="none"/>
          <w:lang w:eastAsia="zh-CN"/>
        </w:rPr>
        <w:t>）</w:t>
      </w:r>
      <w:r>
        <w:rPr>
          <w:rFonts w:hint="eastAsia" w:ascii="黑体" w:hAnsi="黑体" w:eastAsia="黑体"/>
          <w:highlight w:val="none"/>
        </w:rPr>
        <w:t>学生学习满意度</w:t>
      </w:r>
      <w:r>
        <w:rPr>
          <w:rFonts w:hint="eastAsia" w:ascii="黑体" w:hAnsi="黑体" w:eastAsia="黑体"/>
          <w:highlight w:val="none"/>
          <w:lang w:val="en-US" w:eastAsia="zh-CN"/>
        </w:rPr>
        <w:t>较高</w:t>
      </w:r>
      <w:r>
        <w:tab/>
      </w:r>
      <w:r>
        <w:fldChar w:fldCharType="begin"/>
      </w:r>
      <w:r>
        <w:instrText xml:space="preserve"> PAGEREF _Toc27864 \h </w:instrText>
      </w:r>
      <w:r>
        <w:fldChar w:fldCharType="separate"/>
      </w:r>
      <w:r>
        <w:t>18</w:t>
      </w:r>
      <w:r>
        <w:fldChar w:fldCharType="end"/>
      </w:r>
      <w:r>
        <w:rPr>
          <w:rFonts w:hint="eastAsia" w:ascii="仿宋" w:hAnsi="仿宋" w:eastAsia="仿宋" w:cs="仿宋"/>
          <w:color w:val="auto"/>
          <w:szCs w:val="24"/>
        </w:rPr>
        <w:fldChar w:fldCharType="end"/>
      </w:r>
    </w:p>
    <w:p>
      <w:pPr>
        <w:pStyle w:val="9"/>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_Toc11737 </w:instrText>
      </w:r>
      <w:r>
        <w:rPr>
          <w:rFonts w:hint="eastAsia" w:ascii="仿宋" w:hAnsi="仿宋" w:eastAsia="仿宋" w:cs="仿宋"/>
          <w:szCs w:val="24"/>
        </w:rPr>
        <w:fldChar w:fldCharType="separate"/>
      </w:r>
      <w:r>
        <w:rPr>
          <w:rFonts w:hint="eastAsia" w:ascii="黑体" w:hAnsi="黑体" w:cs="黑体"/>
          <w:highlight w:val="none"/>
          <w:lang w:val="en-US" w:eastAsia="zh-CN"/>
        </w:rPr>
        <w:t>1.</w:t>
      </w:r>
      <w:r>
        <w:rPr>
          <w:rFonts w:hint="eastAsia" w:ascii="黑体" w:hAnsi="黑体" w:cs="黑体"/>
          <w:highlight w:val="none"/>
        </w:rPr>
        <w:t>课堂教学满意度较高</w:t>
      </w:r>
      <w:r>
        <w:tab/>
      </w:r>
      <w:r>
        <w:fldChar w:fldCharType="begin"/>
      </w:r>
      <w:r>
        <w:instrText xml:space="preserve"> PAGEREF _Toc11737 \h </w:instrText>
      </w:r>
      <w:r>
        <w:fldChar w:fldCharType="separate"/>
      </w:r>
      <w:r>
        <w:t>18</w:t>
      </w:r>
      <w:r>
        <w:fldChar w:fldCharType="end"/>
      </w:r>
      <w:r>
        <w:rPr>
          <w:rFonts w:hint="eastAsia" w:ascii="仿宋" w:hAnsi="仿宋" w:eastAsia="仿宋" w:cs="仿宋"/>
          <w:color w:val="auto"/>
          <w:szCs w:val="24"/>
        </w:rPr>
        <w:fldChar w:fldCharType="end"/>
      </w:r>
    </w:p>
    <w:p>
      <w:pPr>
        <w:pStyle w:val="9"/>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_Toc28393 </w:instrText>
      </w:r>
      <w:r>
        <w:rPr>
          <w:rFonts w:hint="eastAsia" w:ascii="仿宋" w:hAnsi="仿宋" w:eastAsia="仿宋" w:cs="仿宋"/>
          <w:szCs w:val="24"/>
        </w:rPr>
        <w:fldChar w:fldCharType="separate"/>
      </w:r>
      <w:r>
        <w:rPr>
          <w:rFonts w:hint="eastAsia" w:ascii="黑体" w:hAnsi="黑体" w:cs="黑体"/>
          <w:highlight w:val="none"/>
        </w:rPr>
        <w:t>2</w:t>
      </w:r>
      <w:r>
        <w:rPr>
          <w:rFonts w:hint="eastAsia" w:ascii="黑体" w:hAnsi="黑体" w:cs="黑体"/>
          <w:highlight w:val="none"/>
          <w:lang w:eastAsia="zh-CN"/>
        </w:rPr>
        <w:t>.</w:t>
      </w:r>
      <w:r>
        <w:rPr>
          <w:rFonts w:hint="eastAsia" w:ascii="黑体" w:hAnsi="黑体" w:cs="黑体"/>
          <w:highlight w:val="none"/>
        </w:rPr>
        <w:t>专业满意度逐年提升</w:t>
      </w:r>
      <w:r>
        <w:tab/>
      </w:r>
      <w:r>
        <w:fldChar w:fldCharType="begin"/>
      </w:r>
      <w:r>
        <w:instrText xml:space="preserve"> PAGEREF _Toc28393 \h </w:instrText>
      </w:r>
      <w:r>
        <w:fldChar w:fldCharType="separate"/>
      </w:r>
      <w:r>
        <w:t>18</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_Toc28527 </w:instrText>
      </w:r>
      <w:r>
        <w:rPr>
          <w:rFonts w:hint="eastAsia" w:ascii="仿宋" w:hAnsi="仿宋" w:eastAsia="仿宋" w:cs="仿宋"/>
          <w:szCs w:val="24"/>
        </w:rPr>
        <w:fldChar w:fldCharType="separate"/>
      </w:r>
      <w:r>
        <w:rPr>
          <w:rFonts w:hint="eastAsia" w:ascii="黑体" w:hAnsi="黑体" w:eastAsia="黑体"/>
          <w:highlight w:val="none"/>
          <w:lang w:eastAsia="zh-CN"/>
        </w:rPr>
        <w:t>（</w:t>
      </w:r>
      <w:r>
        <w:rPr>
          <w:rFonts w:hint="eastAsia" w:ascii="黑体" w:hAnsi="黑体" w:eastAsia="黑体"/>
          <w:highlight w:val="none"/>
          <w:lang w:val="en-US" w:eastAsia="zh-CN"/>
        </w:rPr>
        <w:t>二</w:t>
      </w:r>
      <w:r>
        <w:rPr>
          <w:rFonts w:hint="eastAsia" w:ascii="黑体" w:hAnsi="黑体" w:eastAsia="黑体"/>
          <w:highlight w:val="none"/>
          <w:lang w:eastAsia="zh-CN"/>
        </w:rPr>
        <w:t>）</w:t>
      </w:r>
      <w:r>
        <w:rPr>
          <w:rFonts w:hint="eastAsia" w:ascii="黑体" w:hAnsi="黑体" w:eastAsia="黑体"/>
          <w:highlight w:val="none"/>
        </w:rPr>
        <w:t>学生创新创业能力不断提升</w:t>
      </w:r>
      <w:r>
        <w:tab/>
      </w:r>
      <w:r>
        <w:fldChar w:fldCharType="begin"/>
      </w:r>
      <w:r>
        <w:instrText xml:space="preserve"> PAGEREF _Toc28527 \h </w:instrText>
      </w:r>
      <w:r>
        <w:fldChar w:fldCharType="separate"/>
      </w:r>
      <w:r>
        <w:t>19</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_Toc29418 </w:instrText>
      </w:r>
      <w:r>
        <w:rPr>
          <w:rFonts w:hint="eastAsia" w:ascii="仿宋" w:hAnsi="仿宋" w:eastAsia="仿宋" w:cs="仿宋"/>
          <w:szCs w:val="24"/>
        </w:rPr>
        <w:fldChar w:fldCharType="separate"/>
      </w:r>
      <w:r>
        <w:rPr>
          <w:rFonts w:hint="eastAsia" w:ascii="黑体" w:hAnsi="黑体" w:eastAsia="黑体"/>
          <w:lang w:eastAsia="zh-CN"/>
        </w:rPr>
        <w:t>（</w:t>
      </w:r>
      <w:r>
        <w:rPr>
          <w:rFonts w:hint="eastAsia" w:ascii="黑体" w:hAnsi="黑体" w:eastAsia="黑体"/>
          <w:lang w:val="en-US" w:eastAsia="zh-CN"/>
        </w:rPr>
        <w:t>三</w:t>
      </w:r>
      <w:r>
        <w:rPr>
          <w:rFonts w:hint="eastAsia" w:ascii="黑体" w:hAnsi="黑体" w:eastAsia="黑体"/>
          <w:lang w:eastAsia="zh-CN"/>
        </w:rPr>
        <w:t>）</w:t>
      </w:r>
      <w:r>
        <w:rPr>
          <w:rFonts w:hint="eastAsia" w:ascii="黑体" w:hAnsi="黑体" w:eastAsia="黑体"/>
        </w:rPr>
        <w:t>毕业生整体竞争力不断增强</w:t>
      </w:r>
      <w:r>
        <w:tab/>
      </w:r>
      <w:r>
        <w:fldChar w:fldCharType="begin"/>
      </w:r>
      <w:r>
        <w:instrText xml:space="preserve"> PAGEREF _Toc29418 \h </w:instrText>
      </w:r>
      <w:r>
        <w:fldChar w:fldCharType="separate"/>
      </w:r>
      <w:r>
        <w:t>20</w:t>
      </w:r>
      <w:r>
        <w:fldChar w:fldCharType="end"/>
      </w:r>
      <w:r>
        <w:rPr>
          <w:rFonts w:hint="eastAsia" w:ascii="仿宋" w:hAnsi="仿宋" w:eastAsia="仿宋" w:cs="仿宋"/>
          <w:color w:val="auto"/>
          <w:szCs w:val="24"/>
        </w:rPr>
        <w:fldChar w:fldCharType="end"/>
      </w:r>
    </w:p>
    <w:p>
      <w:pPr>
        <w:pStyle w:val="9"/>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_Toc10436 </w:instrText>
      </w:r>
      <w:r>
        <w:rPr>
          <w:rFonts w:hint="eastAsia" w:ascii="仿宋" w:hAnsi="仿宋" w:eastAsia="仿宋" w:cs="仿宋"/>
          <w:szCs w:val="24"/>
        </w:rPr>
        <w:fldChar w:fldCharType="separate"/>
      </w:r>
      <w:r>
        <w:rPr>
          <w:rFonts w:hint="eastAsia" w:ascii="黑体" w:hAnsi="黑体" w:cs="黑体"/>
        </w:rPr>
        <w:t>1</w:t>
      </w:r>
      <w:r>
        <w:rPr>
          <w:rFonts w:hint="eastAsia" w:ascii="黑体" w:hAnsi="黑体" w:cs="黑体"/>
          <w:lang w:eastAsia="zh-CN"/>
        </w:rPr>
        <w:t>.</w:t>
      </w:r>
      <w:r>
        <w:rPr>
          <w:rFonts w:hint="eastAsia" w:ascii="黑体" w:hAnsi="黑体" w:cs="黑体"/>
        </w:rPr>
        <w:t>毕业率和学位授予率情况</w:t>
      </w:r>
      <w:r>
        <w:tab/>
      </w:r>
      <w:r>
        <w:fldChar w:fldCharType="begin"/>
      </w:r>
      <w:r>
        <w:instrText xml:space="preserve"> PAGEREF _Toc10436 \h </w:instrText>
      </w:r>
      <w:r>
        <w:fldChar w:fldCharType="separate"/>
      </w:r>
      <w:r>
        <w:t>20</w:t>
      </w:r>
      <w:r>
        <w:fldChar w:fldCharType="end"/>
      </w:r>
      <w:r>
        <w:rPr>
          <w:rFonts w:hint="eastAsia" w:ascii="仿宋" w:hAnsi="仿宋" w:eastAsia="仿宋" w:cs="仿宋"/>
          <w:color w:val="auto"/>
          <w:szCs w:val="24"/>
        </w:rPr>
        <w:fldChar w:fldCharType="end"/>
      </w:r>
    </w:p>
    <w:p>
      <w:pPr>
        <w:pStyle w:val="9"/>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_Toc6156 </w:instrText>
      </w:r>
      <w:r>
        <w:rPr>
          <w:rFonts w:hint="eastAsia" w:ascii="仿宋" w:hAnsi="仿宋" w:eastAsia="仿宋" w:cs="仿宋"/>
          <w:szCs w:val="24"/>
        </w:rPr>
        <w:fldChar w:fldCharType="separate"/>
      </w:r>
      <w:r>
        <w:rPr>
          <w:rFonts w:hint="eastAsia" w:ascii="黑体" w:hAnsi="黑体" w:cs="黑体"/>
        </w:rPr>
        <w:t>2</w:t>
      </w:r>
      <w:r>
        <w:rPr>
          <w:rFonts w:hint="eastAsia" w:ascii="黑体" w:hAnsi="黑体" w:cs="黑体"/>
          <w:lang w:eastAsia="zh-CN"/>
        </w:rPr>
        <w:t>.</w:t>
      </w:r>
      <w:r>
        <w:rPr>
          <w:rFonts w:hint="eastAsia" w:ascii="黑体" w:hAnsi="黑体" w:cs="黑体"/>
        </w:rPr>
        <w:t>毕业生去向落实情况</w:t>
      </w:r>
      <w:r>
        <w:tab/>
      </w:r>
      <w:r>
        <w:fldChar w:fldCharType="begin"/>
      </w:r>
      <w:r>
        <w:instrText xml:space="preserve"> PAGEREF _Toc6156 \h </w:instrText>
      </w:r>
      <w:r>
        <w:fldChar w:fldCharType="separate"/>
      </w:r>
      <w:r>
        <w:t>20</w:t>
      </w:r>
      <w:r>
        <w:fldChar w:fldCharType="end"/>
      </w:r>
      <w:r>
        <w:rPr>
          <w:rFonts w:hint="eastAsia" w:ascii="仿宋" w:hAnsi="仿宋" w:eastAsia="仿宋" w:cs="仿宋"/>
          <w:color w:val="auto"/>
          <w:szCs w:val="24"/>
        </w:rPr>
        <w:fldChar w:fldCharType="end"/>
      </w:r>
    </w:p>
    <w:p>
      <w:pPr>
        <w:pStyle w:val="14"/>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_Toc25249 </w:instrText>
      </w:r>
      <w:r>
        <w:rPr>
          <w:rFonts w:hint="eastAsia" w:ascii="仿宋" w:hAnsi="仿宋" w:eastAsia="仿宋" w:cs="仿宋"/>
          <w:szCs w:val="24"/>
        </w:rPr>
        <w:fldChar w:fldCharType="separate"/>
      </w:r>
      <w:r>
        <w:rPr>
          <w:rFonts w:hint="eastAsia" w:ascii="黑体" w:hAnsi="黑体" w:cs="黑体"/>
          <w:lang w:val="en-US" w:eastAsia="zh-CN"/>
        </w:rPr>
        <w:t>六、</w:t>
      </w:r>
      <w:r>
        <w:rPr>
          <w:rFonts w:hint="eastAsia" w:ascii="黑体" w:hAnsi="黑体" w:cs="黑体"/>
        </w:rPr>
        <w:t xml:space="preserve"> 特色发展</w:t>
      </w:r>
      <w:r>
        <w:tab/>
      </w:r>
      <w:r>
        <w:fldChar w:fldCharType="begin"/>
      </w:r>
      <w:r>
        <w:instrText xml:space="preserve"> PAGEREF _Toc25249 \h </w:instrText>
      </w:r>
      <w:r>
        <w:fldChar w:fldCharType="separate"/>
      </w:r>
      <w:r>
        <w:t>21</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_Toc6343 </w:instrText>
      </w:r>
      <w:r>
        <w:rPr>
          <w:rFonts w:hint="eastAsia" w:ascii="仿宋" w:hAnsi="仿宋" w:eastAsia="仿宋" w:cs="仿宋"/>
          <w:szCs w:val="24"/>
        </w:rPr>
        <w:fldChar w:fldCharType="separate"/>
      </w:r>
      <w:r>
        <w:rPr>
          <w:rFonts w:hint="eastAsia" w:ascii="黑体" w:hAnsi="黑体" w:eastAsia="黑体"/>
          <w:lang w:eastAsia="zh-CN"/>
        </w:rPr>
        <w:t>（</w:t>
      </w:r>
      <w:r>
        <w:rPr>
          <w:rFonts w:hint="eastAsia" w:ascii="黑体" w:hAnsi="黑体" w:eastAsia="黑体"/>
          <w:lang w:val="en-US" w:eastAsia="zh-CN"/>
        </w:rPr>
        <w:t>一</w:t>
      </w:r>
      <w:r>
        <w:rPr>
          <w:rFonts w:hint="eastAsia" w:ascii="黑体" w:hAnsi="黑体" w:eastAsia="黑体"/>
          <w:lang w:eastAsia="zh-CN"/>
        </w:rPr>
        <w:t>）</w:t>
      </w:r>
      <w:r>
        <w:rPr>
          <w:rFonts w:hint="eastAsia" w:ascii="黑体" w:hAnsi="黑体" w:eastAsia="黑体"/>
        </w:rPr>
        <w:t>深化课程资源建设，推进“互联网+”教学改革</w:t>
      </w:r>
      <w:r>
        <w:tab/>
      </w:r>
      <w:r>
        <w:fldChar w:fldCharType="begin"/>
      </w:r>
      <w:r>
        <w:instrText xml:space="preserve"> PAGEREF _Toc6343 \h </w:instrText>
      </w:r>
      <w:r>
        <w:fldChar w:fldCharType="separate"/>
      </w:r>
      <w:r>
        <w:t>21</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_Toc22291 </w:instrText>
      </w:r>
      <w:r>
        <w:rPr>
          <w:rFonts w:hint="eastAsia" w:ascii="仿宋" w:hAnsi="仿宋" w:eastAsia="仿宋" w:cs="仿宋"/>
          <w:szCs w:val="24"/>
        </w:rPr>
        <w:fldChar w:fldCharType="separate"/>
      </w:r>
      <w:r>
        <w:rPr>
          <w:rFonts w:hint="eastAsia" w:ascii="黑体" w:hAnsi="黑体" w:eastAsia="黑体"/>
          <w:lang w:eastAsia="zh-CN"/>
        </w:rPr>
        <w:t>（</w:t>
      </w:r>
      <w:r>
        <w:rPr>
          <w:rFonts w:hint="eastAsia" w:ascii="黑体" w:hAnsi="黑体" w:eastAsia="黑体"/>
          <w:lang w:val="en-US" w:eastAsia="zh-CN"/>
        </w:rPr>
        <w:t>二</w:t>
      </w:r>
      <w:r>
        <w:rPr>
          <w:rFonts w:hint="eastAsia" w:ascii="黑体" w:hAnsi="黑体" w:eastAsia="黑体"/>
          <w:lang w:eastAsia="zh-CN"/>
        </w:rPr>
        <w:t>）</w:t>
      </w:r>
      <w:r>
        <w:rPr>
          <w:rFonts w:hint="eastAsia" w:ascii="黑体" w:hAnsi="黑体" w:eastAsia="黑体"/>
        </w:rPr>
        <w:t>以专业认证为契机，推进一流本科专业建设</w:t>
      </w:r>
      <w:r>
        <w:tab/>
      </w:r>
      <w:r>
        <w:fldChar w:fldCharType="begin"/>
      </w:r>
      <w:r>
        <w:instrText xml:space="preserve"> PAGEREF _Toc22291 \h </w:instrText>
      </w:r>
      <w:r>
        <w:fldChar w:fldCharType="separate"/>
      </w:r>
      <w:r>
        <w:t>21</w:t>
      </w:r>
      <w:r>
        <w:fldChar w:fldCharType="end"/>
      </w:r>
      <w:r>
        <w:rPr>
          <w:rFonts w:hint="eastAsia" w:ascii="仿宋" w:hAnsi="仿宋" w:eastAsia="仿宋" w:cs="仿宋"/>
          <w:color w:val="auto"/>
          <w:szCs w:val="24"/>
        </w:rPr>
        <w:fldChar w:fldCharType="end"/>
      </w:r>
    </w:p>
    <w:p>
      <w:pPr>
        <w:pStyle w:val="14"/>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_Toc21158 </w:instrText>
      </w:r>
      <w:r>
        <w:rPr>
          <w:rFonts w:hint="eastAsia" w:ascii="仿宋" w:hAnsi="仿宋" w:eastAsia="仿宋" w:cs="仿宋"/>
          <w:szCs w:val="24"/>
        </w:rPr>
        <w:fldChar w:fldCharType="separate"/>
      </w:r>
      <w:r>
        <w:rPr>
          <w:rFonts w:hint="eastAsia" w:ascii="黑体" w:hAnsi="黑体" w:cs="黑体"/>
          <w:lang w:val="en-US" w:eastAsia="zh-CN"/>
        </w:rPr>
        <w:t>七、</w:t>
      </w:r>
      <w:r>
        <w:rPr>
          <w:rFonts w:hint="eastAsia" w:ascii="黑体" w:hAnsi="黑体" w:cs="黑体"/>
        </w:rPr>
        <w:t>存在问题和改进计划</w:t>
      </w:r>
      <w:r>
        <w:tab/>
      </w:r>
      <w:r>
        <w:fldChar w:fldCharType="begin"/>
      </w:r>
      <w:r>
        <w:instrText xml:space="preserve"> PAGEREF _Toc21158 \h </w:instrText>
      </w:r>
      <w:r>
        <w:fldChar w:fldCharType="separate"/>
      </w:r>
      <w:r>
        <w:t>21</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_Toc29310 </w:instrText>
      </w:r>
      <w:r>
        <w:rPr>
          <w:rFonts w:hint="eastAsia" w:ascii="仿宋" w:hAnsi="仿宋" w:eastAsia="仿宋" w:cs="仿宋"/>
          <w:szCs w:val="24"/>
        </w:rPr>
        <w:fldChar w:fldCharType="separate"/>
      </w:r>
      <w:r>
        <w:rPr>
          <w:rFonts w:hint="eastAsia" w:ascii="黑体" w:hAnsi="黑体" w:eastAsia="黑体"/>
          <w:lang w:eastAsia="zh-CN"/>
        </w:rPr>
        <w:t>（</w:t>
      </w:r>
      <w:r>
        <w:rPr>
          <w:rFonts w:hint="eastAsia" w:ascii="黑体" w:hAnsi="黑体" w:eastAsia="黑体"/>
          <w:lang w:val="en-US" w:eastAsia="zh-CN"/>
        </w:rPr>
        <w:t>一</w:t>
      </w:r>
      <w:r>
        <w:rPr>
          <w:rFonts w:hint="eastAsia" w:ascii="黑体" w:hAnsi="黑体" w:eastAsia="黑体"/>
          <w:lang w:eastAsia="zh-CN"/>
        </w:rPr>
        <w:t>）</w:t>
      </w:r>
      <w:r>
        <w:rPr>
          <w:rFonts w:hint="eastAsia" w:ascii="黑体" w:hAnsi="黑体" w:eastAsia="黑体"/>
        </w:rPr>
        <w:t>教育国际化水平有待提升</w:t>
      </w:r>
      <w:r>
        <w:tab/>
      </w:r>
      <w:r>
        <w:fldChar w:fldCharType="begin"/>
      </w:r>
      <w:r>
        <w:instrText xml:space="preserve"> PAGEREF _Toc29310 \h </w:instrText>
      </w:r>
      <w:r>
        <w:fldChar w:fldCharType="separate"/>
      </w:r>
      <w:r>
        <w:t>21</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_Toc31087 </w:instrText>
      </w:r>
      <w:r>
        <w:rPr>
          <w:rFonts w:hint="eastAsia" w:ascii="仿宋" w:hAnsi="仿宋" w:eastAsia="仿宋" w:cs="仿宋"/>
          <w:szCs w:val="24"/>
        </w:rPr>
        <w:fldChar w:fldCharType="separate"/>
      </w:r>
      <w:r>
        <w:rPr>
          <w:rFonts w:hint="eastAsia" w:ascii="黑体" w:hAnsi="黑体" w:eastAsia="黑体"/>
          <w:lang w:eastAsia="zh-CN"/>
        </w:rPr>
        <w:t>（</w:t>
      </w:r>
      <w:r>
        <w:rPr>
          <w:rFonts w:hint="eastAsia" w:ascii="黑体" w:hAnsi="黑体" w:eastAsia="黑体"/>
          <w:lang w:val="en-US" w:eastAsia="zh-CN"/>
        </w:rPr>
        <w:t>二</w:t>
      </w:r>
      <w:r>
        <w:rPr>
          <w:rFonts w:hint="eastAsia" w:ascii="黑体" w:hAnsi="黑体" w:eastAsia="黑体"/>
          <w:lang w:eastAsia="zh-CN"/>
        </w:rPr>
        <w:t>）</w:t>
      </w:r>
      <w:r>
        <w:rPr>
          <w:rFonts w:hint="eastAsia" w:ascii="黑体" w:hAnsi="黑体" w:eastAsia="黑体"/>
        </w:rPr>
        <w:t>教学质量监控体系有待完善</w:t>
      </w:r>
      <w:r>
        <w:tab/>
      </w:r>
      <w:r>
        <w:fldChar w:fldCharType="begin"/>
      </w:r>
      <w:r>
        <w:instrText xml:space="preserve"> PAGEREF _Toc31087 \h </w:instrText>
      </w:r>
      <w:r>
        <w:fldChar w:fldCharType="separate"/>
      </w:r>
      <w:r>
        <w:t>22</w:t>
      </w:r>
      <w:r>
        <w:fldChar w:fldCharType="end"/>
      </w:r>
      <w:r>
        <w:rPr>
          <w:rFonts w:hint="eastAsia" w:ascii="仿宋" w:hAnsi="仿宋" w:eastAsia="仿宋" w:cs="仿宋"/>
          <w:color w:val="auto"/>
          <w:szCs w:val="24"/>
        </w:rPr>
        <w:fldChar w:fldCharType="end"/>
      </w:r>
    </w:p>
    <w:p>
      <w:pPr>
        <w:pStyle w:val="14"/>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_Toc5790 </w:instrText>
      </w:r>
      <w:r>
        <w:rPr>
          <w:rFonts w:hint="eastAsia" w:ascii="仿宋" w:hAnsi="仿宋" w:eastAsia="仿宋" w:cs="仿宋"/>
          <w:szCs w:val="24"/>
        </w:rPr>
        <w:fldChar w:fldCharType="separate"/>
      </w:r>
      <w:r>
        <w:rPr>
          <w:rFonts w:hint="eastAsia"/>
          <w:kern w:val="0"/>
          <w:highlight w:val="none"/>
        </w:rPr>
        <w:t>报告支撑数据表</w:t>
      </w:r>
      <w:r>
        <w:tab/>
      </w:r>
      <w:r>
        <w:fldChar w:fldCharType="begin"/>
      </w:r>
      <w:r>
        <w:instrText xml:space="preserve"> PAGEREF _Toc5790 \h </w:instrText>
      </w:r>
      <w:r>
        <w:fldChar w:fldCharType="separate"/>
      </w:r>
      <w:r>
        <w:t>1</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_Toc14528 </w:instrText>
      </w:r>
      <w:r>
        <w:rPr>
          <w:rFonts w:hint="eastAsia" w:ascii="仿宋" w:hAnsi="仿宋" w:eastAsia="仿宋" w:cs="仿宋"/>
          <w:szCs w:val="24"/>
        </w:rPr>
        <w:fldChar w:fldCharType="separate"/>
      </w:r>
      <w:r>
        <w:rPr>
          <w:rFonts w:hint="eastAsia" w:ascii="宋体" w:hAnsi="宋体" w:eastAsia="宋体" w:cs="宋体"/>
          <w:szCs w:val="21"/>
          <w:highlight w:val="none"/>
        </w:rPr>
        <w:t>1.全日制各类在校生人数统计表</w:t>
      </w:r>
      <w:r>
        <w:tab/>
      </w:r>
      <w:r>
        <w:fldChar w:fldCharType="begin"/>
      </w:r>
      <w:r>
        <w:instrText xml:space="preserve"> PAGEREF _Toc14528 \h </w:instrText>
      </w:r>
      <w:r>
        <w:fldChar w:fldCharType="separate"/>
      </w:r>
      <w:r>
        <w:t>1</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_Toc30268 </w:instrText>
      </w:r>
      <w:r>
        <w:rPr>
          <w:rFonts w:hint="eastAsia" w:ascii="仿宋" w:hAnsi="仿宋" w:eastAsia="仿宋" w:cs="仿宋"/>
          <w:szCs w:val="24"/>
        </w:rPr>
        <w:fldChar w:fldCharType="separate"/>
      </w:r>
      <w:r>
        <w:rPr>
          <w:rFonts w:hint="eastAsia" w:ascii="宋体" w:hAnsi="宋体" w:eastAsia="宋体" w:cs="宋体"/>
          <w:szCs w:val="21"/>
          <w:highlight w:val="none"/>
        </w:rPr>
        <w:t>2.教师数量及结构</w:t>
      </w:r>
      <w:r>
        <w:tab/>
      </w:r>
      <w:r>
        <w:fldChar w:fldCharType="begin"/>
      </w:r>
      <w:r>
        <w:instrText xml:space="preserve"> PAGEREF _Toc30268 \h </w:instrText>
      </w:r>
      <w:r>
        <w:fldChar w:fldCharType="separate"/>
      </w:r>
      <w:r>
        <w:t>1</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_Toc24401 </w:instrText>
      </w:r>
      <w:r>
        <w:rPr>
          <w:rFonts w:hint="eastAsia" w:ascii="仿宋" w:hAnsi="仿宋" w:eastAsia="仿宋" w:cs="仿宋"/>
          <w:szCs w:val="24"/>
        </w:rPr>
        <w:fldChar w:fldCharType="separate"/>
      </w:r>
      <w:r>
        <w:rPr>
          <w:rFonts w:hint="eastAsia" w:ascii="宋体" w:hAnsi="宋体" w:eastAsia="宋体" w:cs="宋体"/>
          <w:szCs w:val="21"/>
          <w:highlight w:val="none"/>
        </w:rPr>
        <w:t>3.专业设置情况</w:t>
      </w:r>
      <w:r>
        <w:tab/>
      </w:r>
      <w:r>
        <w:fldChar w:fldCharType="begin"/>
      </w:r>
      <w:r>
        <w:instrText xml:space="preserve"> PAGEREF _Toc24401 \h </w:instrText>
      </w:r>
      <w:r>
        <w:fldChar w:fldCharType="separate"/>
      </w:r>
      <w:r>
        <w:t>2</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_Toc22497 </w:instrText>
      </w:r>
      <w:r>
        <w:rPr>
          <w:rFonts w:hint="eastAsia" w:ascii="仿宋" w:hAnsi="仿宋" w:eastAsia="仿宋" w:cs="仿宋"/>
          <w:szCs w:val="24"/>
        </w:rPr>
        <w:fldChar w:fldCharType="separate"/>
      </w:r>
      <w:r>
        <w:rPr>
          <w:rFonts w:hint="eastAsia" w:ascii="宋体" w:hAnsi="宋体" w:eastAsia="宋体" w:cs="宋体"/>
          <w:szCs w:val="21"/>
          <w:highlight w:val="none"/>
        </w:rPr>
        <w:t>4.当年各本科专业（类）招生人数及实际报到率</w:t>
      </w:r>
      <w:r>
        <w:tab/>
      </w:r>
      <w:r>
        <w:fldChar w:fldCharType="begin"/>
      </w:r>
      <w:r>
        <w:instrText xml:space="preserve"> PAGEREF _Toc22497 \h </w:instrText>
      </w:r>
      <w:r>
        <w:fldChar w:fldCharType="separate"/>
      </w:r>
      <w:r>
        <w:t>5</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_Toc18809 </w:instrText>
      </w:r>
      <w:r>
        <w:rPr>
          <w:rFonts w:hint="eastAsia" w:ascii="仿宋" w:hAnsi="仿宋" w:eastAsia="仿宋" w:cs="仿宋"/>
          <w:szCs w:val="24"/>
        </w:rPr>
        <w:fldChar w:fldCharType="separate"/>
      </w:r>
      <w:r>
        <w:rPr>
          <w:rFonts w:hint="eastAsia" w:ascii="宋体" w:hAnsi="宋体" w:eastAsia="宋体" w:cs="宋体"/>
          <w:szCs w:val="21"/>
          <w:highlight w:val="none"/>
        </w:rPr>
        <w:t>5.生师比</w:t>
      </w:r>
      <w:r>
        <w:tab/>
      </w:r>
      <w:r>
        <w:fldChar w:fldCharType="begin"/>
      </w:r>
      <w:r>
        <w:instrText xml:space="preserve"> PAGEREF _Toc18809 \h </w:instrText>
      </w:r>
      <w:r>
        <w:fldChar w:fldCharType="separate"/>
      </w:r>
      <w:r>
        <w:t>7</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_Toc16077 </w:instrText>
      </w:r>
      <w:r>
        <w:rPr>
          <w:rFonts w:hint="eastAsia" w:ascii="仿宋" w:hAnsi="仿宋" w:eastAsia="仿宋" w:cs="仿宋"/>
          <w:szCs w:val="24"/>
        </w:rPr>
        <w:fldChar w:fldCharType="separate"/>
      </w:r>
      <w:r>
        <w:rPr>
          <w:rFonts w:hint="eastAsia" w:ascii="宋体" w:hAnsi="宋体" w:eastAsia="宋体" w:cs="宋体"/>
          <w:szCs w:val="21"/>
          <w:highlight w:val="none"/>
        </w:rPr>
        <w:t>6.</w:t>
      </w:r>
      <w:r>
        <w:rPr>
          <w:rFonts w:hint="eastAsia" w:ascii="宋体" w:hAnsi="宋体" w:eastAsia="宋体" w:cs="宋体"/>
          <w:kern w:val="2"/>
          <w:szCs w:val="21"/>
          <w:highlight w:val="none"/>
        </w:rPr>
        <w:t>生均教学科研仪器设备值</w:t>
      </w:r>
      <w:r>
        <w:tab/>
      </w:r>
      <w:r>
        <w:fldChar w:fldCharType="begin"/>
      </w:r>
      <w:r>
        <w:instrText xml:space="preserve"> PAGEREF _Toc16077 \h </w:instrText>
      </w:r>
      <w:r>
        <w:fldChar w:fldCharType="separate"/>
      </w:r>
      <w:r>
        <w:t>9</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_Toc11433 </w:instrText>
      </w:r>
      <w:r>
        <w:rPr>
          <w:rFonts w:hint="eastAsia" w:ascii="仿宋" w:hAnsi="仿宋" w:eastAsia="仿宋" w:cs="仿宋"/>
          <w:szCs w:val="24"/>
        </w:rPr>
        <w:fldChar w:fldCharType="separate"/>
      </w:r>
      <w:r>
        <w:rPr>
          <w:rFonts w:hint="eastAsia" w:ascii="宋体" w:hAnsi="宋体" w:eastAsia="宋体" w:cs="宋体"/>
          <w:szCs w:val="21"/>
          <w:highlight w:val="none"/>
        </w:rPr>
        <w:t>7</w:t>
      </w:r>
      <w:r>
        <w:rPr>
          <w:rFonts w:hint="eastAsia" w:ascii="宋体" w:hAnsi="宋体" w:eastAsia="宋体" w:cs="宋体"/>
          <w:kern w:val="2"/>
          <w:szCs w:val="21"/>
          <w:highlight w:val="none"/>
        </w:rPr>
        <w:t>.当年新增教学科研仪器设备值</w:t>
      </w:r>
      <w:r>
        <w:tab/>
      </w:r>
      <w:r>
        <w:fldChar w:fldCharType="begin"/>
      </w:r>
      <w:r>
        <w:instrText xml:space="preserve"> PAGEREF _Toc11433 \h </w:instrText>
      </w:r>
      <w:r>
        <w:fldChar w:fldCharType="separate"/>
      </w:r>
      <w:r>
        <w:t>9</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_Toc13564 </w:instrText>
      </w:r>
      <w:r>
        <w:rPr>
          <w:rFonts w:hint="eastAsia" w:ascii="仿宋" w:hAnsi="仿宋" w:eastAsia="仿宋" w:cs="仿宋"/>
          <w:szCs w:val="24"/>
        </w:rPr>
        <w:fldChar w:fldCharType="separate"/>
      </w:r>
      <w:r>
        <w:rPr>
          <w:rFonts w:hint="eastAsia" w:ascii="宋体" w:hAnsi="宋体" w:eastAsia="宋体" w:cs="宋体"/>
          <w:szCs w:val="21"/>
          <w:highlight w:val="none"/>
        </w:rPr>
        <w:t>8.生均图书</w:t>
      </w:r>
      <w:r>
        <w:tab/>
      </w:r>
      <w:r>
        <w:fldChar w:fldCharType="begin"/>
      </w:r>
      <w:r>
        <w:instrText xml:space="preserve"> PAGEREF _Toc13564 \h </w:instrText>
      </w:r>
      <w:r>
        <w:fldChar w:fldCharType="separate"/>
      </w:r>
      <w:r>
        <w:t>9</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_Toc13307 </w:instrText>
      </w:r>
      <w:r>
        <w:rPr>
          <w:rFonts w:hint="eastAsia" w:ascii="仿宋" w:hAnsi="仿宋" w:eastAsia="仿宋" w:cs="仿宋"/>
          <w:szCs w:val="24"/>
        </w:rPr>
        <w:fldChar w:fldCharType="separate"/>
      </w:r>
      <w:r>
        <w:rPr>
          <w:rFonts w:hint="eastAsia" w:ascii="宋体" w:hAnsi="宋体" w:eastAsia="宋体" w:cs="宋体"/>
          <w:szCs w:val="21"/>
          <w:highlight w:val="none"/>
        </w:rPr>
        <w:t>9.电子图书、电子期刊种数</w:t>
      </w:r>
      <w:r>
        <w:tab/>
      </w:r>
      <w:r>
        <w:fldChar w:fldCharType="begin"/>
      </w:r>
      <w:r>
        <w:instrText xml:space="preserve"> PAGEREF _Toc13307 \h </w:instrText>
      </w:r>
      <w:r>
        <w:fldChar w:fldCharType="separate"/>
      </w:r>
      <w:r>
        <w:t>9</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_Toc1539 </w:instrText>
      </w:r>
      <w:r>
        <w:rPr>
          <w:rFonts w:hint="eastAsia" w:ascii="仿宋" w:hAnsi="仿宋" w:eastAsia="仿宋" w:cs="仿宋"/>
          <w:szCs w:val="24"/>
        </w:rPr>
        <w:fldChar w:fldCharType="separate"/>
      </w:r>
      <w:r>
        <w:rPr>
          <w:rFonts w:hint="eastAsia" w:ascii="宋体" w:hAnsi="宋体" w:eastAsia="宋体" w:cs="宋体"/>
          <w:szCs w:val="21"/>
          <w:highlight w:val="none"/>
        </w:rPr>
        <w:t>10.生均教学行政用房（其中生均实验室面积）</w:t>
      </w:r>
      <w:r>
        <w:tab/>
      </w:r>
      <w:r>
        <w:fldChar w:fldCharType="begin"/>
      </w:r>
      <w:r>
        <w:instrText xml:space="preserve"> PAGEREF _Toc1539 \h </w:instrText>
      </w:r>
      <w:r>
        <w:fldChar w:fldCharType="separate"/>
      </w:r>
      <w:r>
        <w:t>9</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_Toc7692 </w:instrText>
      </w:r>
      <w:r>
        <w:rPr>
          <w:rFonts w:hint="eastAsia" w:ascii="仿宋" w:hAnsi="仿宋" w:eastAsia="仿宋" w:cs="仿宋"/>
          <w:szCs w:val="24"/>
        </w:rPr>
        <w:fldChar w:fldCharType="separate"/>
      </w:r>
      <w:r>
        <w:rPr>
          <w:rFonts w:hint="eastAsia" w:ascii="宋体" w:hAnsi="宋体" w:eastAsia="宋体" w:cs="宋体"/>
          <w:szCs w:val="21"/>
          <w:highlight w:val="none"/>
        </w:rPr>
        <w:t>11.生均本科教学日常运行支出</w:t>
      </w:r>
      <w:r>
        <w:tab/>
      </w:r>
      <w:r>
        <w:fldChar w:fldCharType="begin"/>
      </w:r>
      <w:r>
        <w:instrText xml:space="preserve"> PAGEREF _Toc7692 \h </w:instrText>
      </w:r>
      <w:r>
        <w:fldChar w:fldCharType="separate"/>
      </w:r>
      <w:r>
        <w:t>9</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_Toc31231 </w:instrText>
      </w:r>
      <w:r>
        <w:rPr>
          <w:rFonts w:hint="eastAsia" w:ascii="仿宋" w:hAnsi="仿宋" w:eastAsia="仿宋" w:cs="仿宋"/>
          <w:szCs w:val="24"/>
        </w:rPr>
        <w:fldChar w:fldCharType="separate"/>
      </w:r>
      <w:r>
        <w:rPr>
          <w:rFonts w:hint="eastAsia" w:ascii="宋体" w:hAnsi="宋体" w:eastAsia="宋体" w:cs="宋体"/>
          <w:szCs w:val="21"/>
          <w:highlight w:val="none"/>
        </w:rPr>
        <w:t>12.本科专项教学经费（自然年度内学校立项用于本科教学改革与建设的专项经费总额）</w:t>
      </w:r>
      <w:r>
        <w:tab/>
      </w:r>
      <w:r>
        <w:fldChar w:fldCharType="begin"/>
      </w:r>
      <w:r>
        <w:instrText xml:space="preserve"> PAGEREF _Toc31231 \h </w:instrText>
      </w:r>
      <w:r>
        <w:fldChar w:fldCharType="separate"/>
      </w:r>
      <w:r>
        <w:t>9</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_Toc20143 </w:instrText>
      </w:r>
      <w:r>
        <w:rPr>
          <w:rFonts w:hint="eastAsia" w:ascii="仿宋" w:hAnsi="仿宋" w:eastAsia="仿宋" w:cs="仿宋"/>
          <w:szCs w:val="24"/>
        </w:rPr>
        <w:fldChar w:fldCharType="separate"/>
      </w:r>
      <w:r>
        <w:rPr>
          <w:rFonts w:hint="eastAsia" w:ascii="宋体" w:hAnsi="宋体" w:eastAsia="宋体" w:cs="宋体"/>
          <w:szCs w:val="21"/>
          <w:highlight w:val="none"/>
        </w:rPr>
        <w:t>13.生均本科实验经费</w:t>
      </w:r>
      <w:r>
        <w:tab/>
      </w:r>
      <w:r>
        <w:fldChar w:fldCharType="begin"/>
      </w:r>
      <w:r>
        <w:instrText xml:space="preserve"> PAGEREF _Toc20143 \h </w:instrText>
      </w:r>
      <w:r>
        <w:fldChar w:fldCharType="separate"/>
      </w:r>
      <w:r>
        <w:t>9</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_Toc22776 </w:instrText>
      </w:r>
      <w:r>
        <w:rPr>
          <w:rFonts w:hint="eastAsia" w:ascii="仿宋" w:hAnsi="仿宋" w:eastAsia="仿宋" w:cs="仿宋"/>
          <w:szCs w:val="24"/>
        </w:rPr>
        <w:fldChar w:fldCharType="separate"/>
      </w:r>
      <w:r>
        <w:rPr>
          <w:rFonts w:hint="eastAsia" w:ascii="宋体" w:hAnsi="宋体" w:eastAsia="宋体" w:cs="宋体"/>
          <w:szCs w:val="21"/>
          <w:highlight w:val="none"/>
        </w:rPr>
        <w:t>14.生均本科实习经费</w:t>
      </w:r>
      <w:r>
        <w:tab/>
      </w:r>
      <w:r>
        <w:fldChar w:fldCharType="begin"/>
      </w:r>
      <w:r>
        <w:instrText xml:space="preserve"> PAGEREF _Toc22776 \h </w:instrText>
      </w:r>
      <w:r>
        <w:fldChar w:fldCharType="separate"/>
      </w:r>
      <w:r>
        <w:t>10</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_Toc6977 </w:instrText>
      </w:r>
      <w:r>
        <w:rPr>
          <w:rFonts w:hint="eastAsia" w:ascii="仿宋" w:hAnsi="仿宋" w:eastAsia="仿宋" w:cs="仿宋"/>
          <w:szCs w:val="24"/>
        </w:rPr>
        <w:fldChar w:fldCharType="separate"/>
      </w:r>
      <w:r>
        <w:rPr>
          <w:rFonts w:hint="eastAsia" w:ascii="宋体" w:hAnsi="宋体" w:eastAsia="宋体" w:cs="宋体"/>
          <w:szCs w:val="21"/>
          <w:highlight w:val="none"/>
        </w:rPr>
        <w:t>15.学校开设本科生课程总门次数情况（不含实践环节）</w:t>
      </w:r>
      <w:r>
        <w:tab/>
      </w:r>
      <w:r>
        <w:fldChar w:fldCharType="begin"/>
      </w:r>
      <w:r>
        <w:instrText xml:space="preserve"> PAGEREF _Toc6977 \h </w:instrText>
      </w:r>
      <w:r>
        <w:fldChar w:fldCharType="separate"/>
      </w:r>
      <w:r>
        <w:t>10</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_Toc613 </w:instrText>
      </w:r>
      <w:r>
        <w:rPr>
          <w:rFonts w:hint="eastAsia" w:ascii="仿宋" w:hAnsi="仿宋" w:eastAsia="仿宋" w:cs="仿宋"/>
          <w:szCs w:val="24"/>
        </w:rPr>
        <w:fldChar w:fldCharType="separate"/>
      </w:r>
      <w:r>
        <w:rPr>
          <w:rFonts w:ascii="宋体" w:hAnsi="宋体" w:eastAsia="宋体" w:cs="宋体"/>
          <w:kern w:val="2"/>
          <w:szCs w:val="21"/>
        </w:rPr>
        <w:t xml:space="preserve">16. </w:t>
      </w:r>
      <w:r>
        <w:rPr>
          <w:rFonts w:hint="eastAsia" w:ascii="宋体" w:hAnsi="宋体" w:eastAsia="宋体" w:cs="宋体"/>
          <w:kern w:val="2"/>
          <w:szCs w:val="21"/>
          <w:highlight w:val="none"/>
        </w:rPr>
        <w:t>实践教学学分占总学分比例</w:t>
      </w:r>
      <w:r>
        <w:tab/>
      </w:r>
      <w:r>
        <w:fldChar w:fldCharType="begin"/>
      </w:r>
      <w:r>
        <w:instrText xml:space="preserve"> PAGEREF _Toc613 \h </w:instrText>
      </w:r>
      <w:r>
        <w:fldChar w:fldCharType="separate"/>
      </w:r>
      <w:r>
        <w:t>10</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_Toc3757 </w:instrText>
      </w:r>
      <w:r>
        <w:rPr>
          <w:rFonts w:hint="eastAsia" w:ascii="仿宋" w:hAnsi="仿宋" w:eastAsia="仿宋" w:cs="仿宋"/>
          <w:szCs w:val="24"/>
        </w:rPr>
        <w:fldChar w:fldCharType="separate"/>
      </w:r>
      <w:r>
        <w:rPr>
          <w:rFonts w:ascii="宋体" w:hAnsi="宋体" w:eastAsia="宋体" w:cs="宋体"/>
          <w:szCs w:val="21"/>
        </w:rPr>
        <w:t xml:space="preserve">17. </w:t>
      </w:r>
      <w:r>
        <w:rPr>
          <w:rFonts w:hint="eastAsia" w:ascii="宋体" w:hAnsi="宋体" w:eastAsia="宋体" w:cs="宋体"/>
          <w:szCs w:val="21"/>
          <w:highlight w:val="none"/>
        </w:rPr>
        <w:t>选修课学分占总学分比例</w:t>
      </w:r>
      <w:r>
        <w:tab/>
      </w:r>
      <w:r>
        <w:fldChar w:fldCharType="begin"/>
      </w:r>
      <w:r>
        <w:instrText xml:space="preserve"> PAGEREF _Toc3757 \h </w:instrText>
      </w:r>
      <w:r>
        <w:fldChar w:fldCharType="separate"/>
      </w:r>
      <w:r>
        <w:t>14</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_Toc429 </w:instrText>
      </w:r>
      <w:r>
        <w:rPr>
          <w:rFonts w:hint="eastAsia" w:ascii="仿宋" w:hAnsi="仿宋" w:eastAsia="仿宋" w:cs="仿宋"/>
          <w:szCs w:val="24"/>
        </w:rPr>
        <w:fldChar w:fldCharType="separate"/>
      </w:r>
      <w:r>
        <w:rPr>
          <w:rFonts w:hint="eastAsia" w:ascii="宋体" w:hAnsi="宋体" w:eastAsia="宋体" w:cs="宋体"/>
          <w:szCs w:val="21"/>
          <w:highlight w:val="none"/>
        </w:rPr>
        <w:t>18.</w:t>
      </w:r>
      <w:r>
        <w:rPr>
          <w:rFonts w:hint="eastAsia" w:ascii="宋体" w:hAnsi="宋体" w:eastAsia="宋体" w:cs="宋体"/>
          <w:kern w:val="2"/>
          <w:szCs w:val="21"/>
          <w:highlight w:val="none"/>
        </w:rPr>
        <w:t>主讲本科课程的教授占教授总数的比例</w:t>
      </w:r>
      <w:r>
        <w:tab/>
      </w:r>
      <w:r>
        <w:fldChar w:fldCharType="begin"/>
      </w:r>
      <w:r>
        <w:instrText xml:space="preserve"> PAGEREF _Toc429 \h </w:instrText>
      </w:r>
      <w:r>
        <w:fldChar w:fldCharType="separate"/>
      </w:r>
      <w:r>
        <w:t>18</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_Toc2643 </w:instrText>
      </w:r>
      <w:r>
        <w:rPr>
          <w:rFonts w:hint="eastAsia" w:ascii="仿宋" w:hAnsi="仿宋" w:eastAsia="仿宋" w:cs="仿宋"/>
          <w:szCs w:val="24"/>
        </w:rPr>
        <w:fldChar w:fldCharType="separate"/>
      </w:r>
      <w:r>
        <w:rPr>
          <w:rFonts w:hint="eastAsia" w:ascii="宋体" w:hAnsi="宋体" w:eastAsia="宋体" w:cs="宋体"/>
          <w:szCs w:val="21"/>
          <w:highlight w:val="none"/>
        </w:rPr>
        <w:t>19.</w:t>
      </w:r>
      <w:r>
        <w:rPr>
          <w:rFonts w:hint="eastAsia" w:ascii="宋体" w:hAnsi="宋体" w:eastAsia="宋体" w:cs="宋体"/>
          <w:kern w:val="2"/>
          <w:szCs w:val="21"/>
          <w:highlight w:val="none"/>
        </w:rPr>
        <w:t>教授讲授本科课程占课程总门次数的比例</w:t>
      </w:r>
      <w:r>
        <w:tab/>
      </w:r>
      <w:r>
        <w:fldChar w:fldCharType="begin"/>
      </w:r>
      <w:r>
        <w:instrText xml:space="preserve"> PAGEREF _Toc2643 \h </w:instrText>
      </w:r>
      <w:r>
        <w:fldChar w:fldCharType="separate"/>
      </w:r>
      <w:r>
        <w:t>18</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_Toc4062 </w:instrText>
      </w:r>
      <w:r>
        <w:rPr>
          <w:rFonts w:hint="eastAsia" w:ascii="仿宋" w:hAnsi="仿宋" w:eastAsia="仿宋" w:cs="仿宋"/>
          <w:szCs w:val="24"/>
        </w:rPr>
        <w:fldChar w:fldCharType="separate"/>
      </w:r>
      <w:r>
        <w:rPr>
          <w:rFonts w:ascii="宋体" w:hAnsi="宋体" w:eastAsia="宋体" w:cs="宋体"/>
          <w:szCs w:val="21"/>
        </w:rPr>
        <w:t xml:space="preserve">20. </w:t>
      </w:r>
      <w:r>
        <w:rPr>
          <w:rFonts w:hint="eastAsia" w:ascii="宋体" w:hAnsi="宋体" w:eastAsia="宋体" w:cs="宋体"/>
          <w:szCs w:val="21"/>
          <w:highlight w:val="none"/>
        </w:rPr>
        <w:t>教学班额情况</w:t>
      </w:r>
      <w:r>
        <w:tab/>
      </w:r>
      <w:r>
        <w:fldChar w:fldCharType="begin"/>
      </w:r>
      <w:r>
        <w:instrText xml:space="preserve"> PAGEREF _Toc4062 \h </w:instrText>
      </w:r>
      <w:r>
        <w:fldChar w:fldCharType="separate"/>
      </w:r>
      <w:r>
        <w:t>18</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_Toc4983 </w:instrText>
      </w:r>
      <w:r>
        <w:rPr>
          <w:rFonts w:hint="eastAsia" w:ascii="仿宋" w:hAnsi="仿宋" w:eastAsia="仿宋" w:cs="仿宋"/>
          <w:szCs w:val="24"/>
        </w:rPr>
        <w:fldChar w:fldCharType="separate"/>
      </w:r>
      <w:r>
        <w:rPr>
          <w:rFonts w:hint="eastAsia" w:ascii="宋体" w:hAnsi="宋体" w:eastAsia="宋体" w:cs="宋体"/>
          <w:szCs w:val="21"/>
          <w:highlight w:val="none"/>
        </w:rPr>
        <w:t>21.实践教学及实习实训基地数</w:t>
      </w:r>
      <w:r>
        <w:tab/>
      </w:r>
      <w:r>
        <w:fldChar w:fldCharType="begin"/>
      </w:r>
      <w:r>
        <w:instrText xml:space="preserve"> PAGEREF _Toc4983 \h </w:instrText>
      </w:r>
      <w:r>
        <w:fldChar w:fldCharType="separate"/>
      </w:r>
      <w:r>
        <w:t>18</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_Toc13297 </w:instrText>
      </w:r>
      <w:r>
        <w:rPr>
          <w:rFonts w:hint="eastAsia" w:ascii="仿宋" w:hAnsi="仿宋" w:eastAsia="仿宋" w:cs="仿宋"/>
          <w:szCs w:val="24"/>
        </w:rPr>
        <w:fldChar w:fldCharType="separate"/>
      </w:r>
      <w:r>
        <w:rPr>
          <w:rFonts w:hint="eastAsia" w:ascii="宋体" w:hAnsi="宋体" w:eastAsia="宋体" w:cs="宋体"/>
          <w:szCs w:val="21"/>
          <w:highlight w:val="none"/>
        </w:rPr>
        <w:t>22.本科生中具有海外学习经历的学生比例</w:t>
      </w:r>
      <w:r>
        <w:tab/>
      </w:r>
      <w:r>
        <w:fldChar w:fldCharType="begin"/>
      </w:r>
      <w:r>
        <w:instrText xml:space="preserve"> PAGEREF _Toc13297 \h </w:instrText>
      </w:r>
      <w:r>
        <w:fldChar w:fldCharType="separate"/>
      </w:r>
      <w:r>
        <w:t>20</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_Toc22756 </w:instrText>
      </w:r>
      <w:r>
        <w:rPr>
          <w:rFonts w:hint="eastAsia" w:ascii="仿宋" w:hAnsi="仿宋" w:eastAsia="仿宋" w:cs="仿宋"/>
          <w:szCs w:val="24"/>
        </w:rPr>
        <w:fldChar w:fldCharType="separate"/>
      </w:r>
      <w:r>
        <w:rPr>
          <w:rFonts w:hint="eastAsia" w:ascii="宋体" w:hAnsi="宋体" w:eastAsia="宋体" w:cs="宋体"/>
          <w:szCs w:val="21"/>
          <w:highlight w:val="none"/>
        </w:rPr>
        <w:t>23. 202</w:t>
      </w:r>
      <w:r>
        <w:rPr>
          <w:rFonts w:hint="eastAsia" w:ascii="宋体" w:hAnsi="宋体" w:eastAsia="宋体" w:cs="宋体"/>
          <w:szCs w:val="21"/>
          <w:highlight w:val="none"/>
          <w:lang w:val="en-US" w:eastAsia="zh-CN"/>
        </w:rPr>
        <w:t>3</w:t>
      </w:r>
      <w:r>
        <w:rPr>
          <w:rFonts w:hint="eastAsia" w:ascii="宋体" w:hAnsi="宋体" w:eastAsia="宋体" w:cs="宋体"/>
          <w:szCs w:val="21"/>
          <w:highlight w:val="none"/>
        </w:rPr>
        <w:t>届本科生毕业率</w:t>
      </w:r>
      <w:r>
        <w:tab/>
      </w:r>
      <w:r>
        <w:fldChar w:fldCharType="begin"/>
      </w:r>
      <w:r>
        <w:instrText xml:space="preserve"> PAGEREF _Toc22756 \h </w:instrText>
      </w:r>
      <w:r>
        <w:fldChar w:fldCharType="separate"/>
      </w:r>
      <w:r>
        <w:t>20</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_Toc32338 </w:instrText>
      </w:r>
      <w:r>
        <w:rPr>
          <w:rFonts w:hint="eastAsia" w:ascii="仿宋" w:hAnsi="仿宋" w:eastAsia="仿宋" w:cs="仿宋"/>
          <w:szCs w:val="24"/>
        </w:rPr>
        <w:fldChar w:fldCharType="separate"/>
      </w:r>
      <w:r>
        <w:rPr>
          <w:rFonts w:hint="eastAsia" w:ascii="宋体" w:hAnsi="宋体" w:eastAsia="宋体" w:cs="宋体"/>
          <w:szCs w:val="21"/>
          <w:highlight w:val="none"/>
        </w:rPr>
        <w:t>24. 202</w:t>
      </w:r>
      <w:r>
        <w:rPr>
          <w:rFonts w:hint="eastAsia" w:ascii="宋体" w:hAnsi="宋体" w:eastAsia="宋体" w:cs="宋体"/>
          <w:szCs w:val="21"/>
          <w:highlight w:val="none"/>
          <w:lang w:val="en-US" w:eastAsia="zh-CN"/>
        </w:rPr>
        <w:t>3</w:t>
      </w:r>
      <w:r>
        <w:rPr>
          <w:rFonts w:hint="eastAsia" w:ascii="宋体" w:hAnsi="宋体" w:eastAsia="宋体" w:cs="宋体"/>
          <w:szCs w:val="21"/>
          <w:highlight w:val="none"/>
        </w:rPr>
        <w:t>届本科生学位授予率</w:t>
      </w:r>
      <w:r>
        <w:tab/>
      </w:r>
      <w:r>
        <w:fldChar w:fldCharType="begin"/>
      </w:r>
      <w:r>
        <w:instrText xml:space="preserve"> PAGEREF _Toc32338 \h </w:instrText>
      </w:r>
      <w:r>
        <w:fldChar w:fldCharType="separate"/>
      </w:r>
      <w:r>
        <w:t>20</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_Toc6886 </w:instrText>
      </w:r>
      <w:r>
        <w:rPr>
          <w:rFonts w:hint="eastAsia" w:ascii="仿宋" w:hAnsi="仿宋" w:eastAsia="仿宋" w:cs="仿宋"/>
          <w:szCs w:val="24"/>
        </w:rPr>
        <w:fldChar w:fldCharType="separate"/>
      </w:r>
      <w:r>
        <w:rPr>
          <w:rFonts w:hint="eastAsia" w:ascii="宋体" w:hAnsi="宋体" w:eastAsia="宋体" w:cs="宋体"/>
          <w:szCs w:val="21"/>
          <w:highlight w:val="none"/>
        </w:rPr>
        <w:t>25. 202</w:t>
      </w:r>
      <w:r>
        <w:rPr>
          <w:rFonts w:hint="eastAsia" w:ascii="宋体" w:hAnsi="宋体" w:eastAsia="宋体" w:cs="宋体"/>
          <w:szCs w:val="21"/>
          <w:highlight w:val="none"/>
          <w:lang w:val="en-US" w:eastAsia="zh-CN"/>
        </w:rPr>
        <w:t>3</w:t>
      </w:r>
      <w:r>
        <w:rPr>
          <w:rFonts w:hint="eastAsia" w:ascii="宋体" w:hAnsi="宋体" w:eastAsia="宋体" w:cs="宋体"/>
          <w:szCs w:val="21"/>
          <w:highlight w:val="none"/>
        </w:rPr>
        <w:t>届本科生初次就业率</w:t>
      </w:r>
      <w:r>
        <w:tab/>
      </w:r>
      <w:r>
        <w:fldChar w:fldCharType="begin"/>
      </w:r>
      <w:r>
        <w:instrText xml:space="preserve"> PAGEREF _Toc6886 \h </w:instrText>
      </w:r>
      <w:r>
        <w:fldChar w:fldCharType="separate"/>
      </w:r>
      <w:r>
        <w:t>20</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_Toc389 </w:instrText>
      </w:r>
      <w:r>
        <w:rPr>
          <w:rFonts w:hint="eastAsia" w:ascii="仿宋" w:hAnsi="仿宋" w:eastAsia="仿宋" w:cs="仿宋"/>
          <w:szCs w:val="24"/>
        </w:rPr>
        <w:fldChar w:fldCharType="separate"/>
      </w:r>
      <w:r>
        <w:rPr>
          <w:rFonts w:hint="eastAsia" w:ascii="宋体" w:hAnsi="宋体" w:eastAsia="宋体" w:cs="宋体"/>
          <w:szCs w:val="21"/>
          <w:highlight w:val="none"/>
        </w:rPr>
        <w:t>26.202</w:t>
      </w:r>
      <w:r>
        <w:rPr>
          <w:rFonts w:hint="eastAsia" w:ascii="宋体" w:hAnsi="宋体" w:eastAsia="宋体" w:cs="宋体"/>
          <w:szCs w:val="21"/>
          <w:highlight w:val="none"/>
          <w:lang w:val="en-US" w:eastAsia="zh-CN"/>
        </w:rPr>
        <w:t>2</w:t>
      </w:r>
      <w:r>
        <w:rPr>
          <w:rFonts w:hint="eastAsia" w:ascii="宋体" w:hAnsi="宋体" w:eastAsia="宋体" w:cs="宋体"/>
          <w:szCs w:val="21"/>
          <w:highlight w:val="none"/>
        </w:rPr>
        <w:t>-202</w:t>
      </w:r>
      <w:r>
        <w:rPr>
          <w:rFonts w:hint="eastAsia" w:ascii="宋体" w:hAnsi="宋体" w:eastAsia="宋体" w:cs="宋体"/>
          <w:szCs w:val="21"/>
          <w:highlight w:val="none"/>
          <w:lang w:val="en-US" w:eastAsia="zh-CN"/>
        </w:rPr>
        <w:t>3</w:t>
      </w:r>
      <w:r>
        <w:rPr>
          <w:rFonts w:hint="eastAsia" w:ascii="宋体" w:hAnsi="宋体" w:eastAsia="宋体" w:cs="宋体"/>
          <w:szCs w:val="21"/>
          <w:highlight w:val="none"/>
        </w:rPr>
        <w:t>学年学生转专业人数比例</w:t>
      </w:r>
      <w:r>
        <w:tab/>
      </w:r>
      <w:r>
        <w:fldChar w:fldCharType="begin"/>
      </w:r>
      <w:r>
        <w:instrText xml:space="preserve"> PAGEREF _Toc389 \h </w:instrText>
      </w:r>
      <w:r>
        <w:fldChar w:fldCharType="separate"/>
      </w:r>
      <w:r>
        <w:t>21</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_Toc12228 </w:instrText>
      </w:r>
      <w:r>
        <w:rPr>
          <w:rFonts w:hint="eastAsia" w:ascii="仿宋" w:hAnsi="仿宋" w:eastAsia="仿宋" w:cs="仿宋"/>
          <w:szCs w:val="24"/>
        </w:rPr>
        <w:fldChar w:fldCharType="separate"/>
      </w:r>
      <w:r>
        <w:rPr>
          <w:rFonts w:hint="eastAsia" w:ascii="宋体" w:hAnsi="宋体" w:eastAsia="宋体" w:cs="宋体"/>
          <w:szCs w:val="21"/>
          <w:highlight w:val="none"/>
        </w:rPr>
        <w:t>27.具有3个月以上国（境）外培训进修经历的教师数量及比例</w:t>
      </w:r>
      <w:r>
        <w:tab/>
      </w:r>
      <w:r>
        <w:fldChar w:fldCharType="begin"/>
      </w:r>
      <w:r>
        <w:instrText xml:space="preserve"> PAGEREF _Toc12228 \h </w:instrText>
      </w:r>
      <w:r>
        <w:fldChar w:fldCharType="separate"/>
      </w:r>
      <w:r>
        <w:t>21</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_Toc31010 </w:instrText>
      </w:r>
      <w:r>
        <w:rPr>
          <w:rFonts w:hint="eastAsia" w:ascii="仿宋" w:hAnsi="仿宋" w:eastAsia="仿宋" w:cs="仿宋"/>
          <w:szCs w:val="24"/>
        </w:rPr>
        <w:fldChar w:fldCharType="separate"/>
      </w:r>
      <w:r>
        <w:rPr>
          <w:rFonts w:hint="eastAsia" w:ascii="宋体" w:hAnsi="宋体" w:eastAsia="宋体" w:cs="宋体"/>
          <w:szCs w:val="21"/>
          <w:highlight w:val="none"/>
        </w:rPr>
        <w:t>28.校外实习基地数</w:t>
      </w:r>
      <w:r>
        <w:tab/>
      </w:r>
      <w:r>
        <w:fldChar w:fldCharType="begin"/>
      </w:r>
      <w:r>
        <w:instrText xml:space="preserve"> PAGEREF _Toc31010 \h </w:instrText>
      </w:r>
      <w:r>
        <w:fldChar w:fldCharType="separate"/>
      </w:r>
      <w:r>
        <w:t>21</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_Toc29028 </w:instrText>
      </w:r>
      <w:r>
        <w:rPr>
          <w:rFonts w:hint="eastAsia" w:ascii="仿宋" w:hAnsi="仿宋" w:eastAsia="仿宋" w:cs="仿宋"/>
          <w:szCs w:val="24"/>
        </w:rPr>
        <w:fldChar w:fldCharType="separate"/>
      </w:r>
      <w:r>
        <w:rPr>
          <w:rFonts w:hint="eastAsia" w:ascii="宋体" w:hAnsi="宋体" w:eastAsia="宋体" w:cs="宋体"/>
          <w:szCs w:val="21"/>
          <w:highlight w:val="none"/>
        </w:rPr>
        <w:t>29.设立行业（产业）学院名称及数量</w:t>
      </w:r>
      <w:r>
        <w:tab/>
      </w:r>
      <w:r>
        <w:fldChar w:fldCharType="begin"/>
      </w:r>
      <w:r>
        <w:instrText xml:space="preserve"> PAGEREF _Toc29028 \h </w:instrText>
      </w:r>
      <w:r>
        <w:fldChar w:fldCharType="separate"/>
      </w:r>
      <w:r>
        <w:t>21</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_Toc22909 </w:instrText>
      </w:r>
      <w:r>
        <w:rPr>
          <w:rFonts w:hint="eastAsia" w:ascii="仿宋" w:hAnsi="仿宋" w:eastAsia="仿宋" w:cs="仿宋"/>
          <w:szCs w:val="24"/>
        </w:rPr>
        <w:fldChar w:fldCharType="separate"/>
      </w:r>
      <w:r>
        <w:rPr>
          <w:rFonts w:hint="eastAsia" w:ascii="宋体" w:hAnsi="宋体" w:eastAsia="宋体" w:cs="宋体"/>
          <w:szCs w:val="21"/>
          <w:highlight w:val="none"/>
        </w:rPr>
        <w:t>30.经批准的本科层次中外合作办学（联合培养）项目数及在籍学生数</w:t>
      </w:r>
      <w:r>
        <w:tab/>
      </w:r>
      <w:r>
        <w:fldChar w:fldCharType="begin"/>
      </w:r>
      <w:r>
        <w:instrText xml:space="preserve"> PAGEREF _Toc22909 \h </w:instrText>
      </w:r>
      <w:r>
        <w:fldChar w:fldCharType="separate"/>
      </w:r>
      <w:r>
        <w:t>24</w:t>
      </w:r>
      <w:r>
        <w:fldChar w:fldCharType="end"/>
      </w:r>
      <w:r>
        <w:rPr>
          <w:rFonts w:hint="eastAsia" w:ascii="仿宋" w:hAnsi="仿宋" w:eastAsia="仿宋" w:cs="仿宋"/>
          <w:color w:val="auto"/>
          <w:szCs w:val="24"/>
        </w:rPr>
        <w:fldChar w:fldCharType="end"/>
      </w:r>
    </w:p>
    <w:p>
      <w:pPr>
        <w:pStyle w:val="16"/>
        <w:tabs>
          <w:tab w:val="right" w:leader="dot" w:pos="8306"/>
          <w:tab w:val="clear" w:pos="8296"/>
        </w:tabs>
      </w:pPr>
      <w:r>
        <w:rPr>
          <w:rFonts w:hint="eastAsia" w:ascii="仿宋" w:hAnsi="仿宋" w:eastAsia="仿宋" w:cs="仿宋"/>
          <w:color w:val="auto"/>
          <w:szCs w:val="24"/>
        </w:rPr>
        <w:fldChar w:fldCharType="begin"/>
      </w:r>
      <w:r>
        <w:rPr>
          <w:rFonts w:hint="eastAsia" w:ascii="仿宋" w:hAnsi="仿宋" w:eastAsia="仿宋" w:cs="仿宋"/>
          <w:szCs w:val="24"/>
        </w:rPr>
        <w:instrText xml:space="preserve"> HYPERLINK \l _Toc1219 </w:instrText>
      </w:r>
      <w:r>
        <w:rPr>
          <w:rFonts w:hint="eastAsia" w:ascii="仿宋" w:hAnsi="仿宋" w:eastAsia="仿宋" w:cs="仿宋"/>
          <w:szCs w:val="24"/>
        </w:rPr>
        <w:fldChar w:fldCharType="separate"/>
      </w:r>
      <w:r>
        <w:rPr>
          <w:rFonts w:hint="eastAsia" w:ascii="宋体" w:hAnsi="宋体" w:eastAsia="宋体" w:cs="宋体"/>
          <w:szCs w:val="21"/>
          <w:highlight w:val="none"/>
        </w:rPr>
        <w:t>31.体质测试达标率</w:t>
      </w:r>
      <w:r>
        <w:tab/>
      </w:r>
      <w:r>
        <w:fldChar w:fldCharType="begin"/>
      </w:r>
      <w:r>
        <w:instrText xml:space="preserve"> PAGEREF _Toc1219 \h </w:instrText>
      </w:r>
      <w:r>
        <w:fldChar w:fldCharType="separate"/>
      </w:r>
      <w:r>
        <w:t>24</w:t>
      </w:r>
      <w:r>
        <w:fldChar w:fldCharType="end"/>
      </w:r>
      <w:r>
        <w:rPr>
          <w:rFonts w:hint="eastAsia" w:ascii="仿宋" w:hAnsi="仿宋" w:eastAsia="仿宋" w:cs="仿宋"/>
          <w:color w:val="auto"/>
          <w:szCs w:val="24"/>
        </w:rPr>
        <w:fldChar w:fldCharType="end"/>
      </w:r>
    </w:p>
    <w:p>
      <w:pPr>
        <w:pStyle w:val="15"/>
        <w:tabs>
          <w:tab w:val="right" w:leader="dot" w:pos="8296"/>
        </w:tabs>
        <w:ind w:firstLine="0" w:firstLineChars="0"/>
        <w:rPr>
          <w:rFonts w:ascii="宋体" w:hAnsi="宋体" w:cs="宋体"/>
          <w:color w:val="auto"/>
          <w:szCs w:val="21"/>
        </w:rPr>
      </w:pPr>
      <w:r>
        <w:rPr>
          <w:rFonts w:hint="eastAsia" w:ascii="仿宋" w:hAnsi="仿宋" w:eastAsia="仿宋" w:cs="仿宋"/>
          <w:color w:val="auto"/>
          <w:szCs w:val="24"/>
        </w:rPr>
        <w:fldChar w:fldCharType="end"/>
      </w:r>
      <w:r>
        <w:rPr>
          <w:rFonts w:hint="eastAsia" w:ascii="宋体" w:hAnsi="宋体" w:cs="宋体"/>
          <w:color w:val="auto"/>
        </w:rPr>
        <w:br w:type="page"/>
      </w:r>
    </w:p>
    <w:p>
      <w:pPr>
        <w:widowControl/>
        <w:spacing w:after="156" w:afterLines="50"/>
        <w:ind w:firstLine="480"/>
        <w:jc w:val="center"/>
        <w:rPr>
          <w:rFonts w:ascii="宋体" w:hAnsi="宋体" w:cs="宋体"/>
          <w:color w:val="auto"/>
          <w:szCs w:val="21"/>
        </w:rPr>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p>
    <w:p>
      <w:pPr>
        <w:autoSpaceDE w:val="0"/>
        <w:autoSpaceDN w:val="0"/>
        <w:adjustRightInd w:val="0"/>
        <w:snapToGrid w:val="0"/>
        <w:ind w:firstLine="480"/>
        <w:rPr>
          <w:rFonts w:ascii="宋体" w:hAnsi="宋体" w:cs="宋体"/>
          <w:color w:val="auto"/>
        </w:rPr>
      </w:pPr>
      <w:r>
        <w:rPr>
          <w:rFonts w:hint="eastAsia" w:ascii="宋体" w:hAnsi="宋体" w:cs="宋体"/>
          <w:color w:val="auto"/>
        </w:rPr>
        <w:t>杭州师范大学是浙江省重点建设高校，是一所以师范教育为传统，文理并重，人文学科与自然学科协调发展的综合性大学。其前身可追溯至</w:t>
      </w:r>
      <w:r>
        <w:rPr>
          <w:rFonts w:ascii="宋体" w:hAnsi="宋体" w:cs="宋体"/>
          <w:color w:val="auto"/>
        </w:rPr>
        <w:t>1908年创建的浙江官立两级师范学堂。在发展历史中，学校先后更名为浙江省立两级师范学校、浙江省立第一师范学校、浙江省立杭州师范学校、浙江省杭州师范学校。1978年12月，经国务院教育行政部门批准，在杭州师范学校基础上组建杭州师范学院。1999—2001年，原杭州教育学院、杭州师范学校、杭州工艺美术学校、杭州市法律学校、杭州医学高等专科学校等相继并入；2007年3月，经国务院教育行政部门批准，学校更名为杭州师范大学。</w:t>
      </w:r>
    </w:p>
    <w:p>
      <w:pPr>
        <w:spacing w:after="156" w:afterLines="50"/>
        <w:ind w:firstLine="480"/>
        <w:rPr>
          <w:rFonts w:hint="eastAsia" w:ascii="宋体" w:hAnsi="宋体" w:eastAsia="宋体" w:cs="宋体"/>
          <w:color w:val="auto"/>
          <w:szCs w:val="24"/>
          <w:lang w:eastAsia="zh-CN"/>
        </w:rPr>
      </w:pPr>
      <w:r>
        <w:rPr>
          <w:rFonts w:ascii="宋体" w:hAnsi="宋体" w:cs="宋体"/>
          <w:color w:val="auto"/>
        </w:rPr>
        <w:t>学校</w:t>
      </w:r>
      <w:r>
        <w:rPr>
          <w:rFonts w:hint="eastAsia" w:ascii="宋体" w:hAnsi="宋体" w:cs="宋体"/>
          <w:color w:val="auto"/>
        </w:rPr>
        <w:t>坚持扎根杭州、立足浙江、放眼全国、走向世界，坚持人才为本、注重内涵、突出特色、聚焦学科，强化师范教育优势特色，做强优势特色学科，文理并重、有序发展，加强高素质教师队伍建设，努力建成实力强劲、特色鲜明、文化厚重的全国一流大学</w:t>
      </w:r>
      <w:r>
        <w:rPr>
          <w:rFonts w:hint="eastAsia" w:ascii="宋体" w:hAnsi="宋体" w:cs="宋体"/>
          <w:color w:val="auto"/>
          <w:lang w:eastAsia="zh-CN"/>
        </w:rPr>
        <w:t>。</w:t>
      </w:r>
    </w:p>
    <w:p>
      <w:pPr>
        <w:pStyle w:val="2"/>
        <w:rPr>
          <w:color w:val="auto"/>
        </w:rPr>
      </w:pPr>
      <w:bookmarkStart w:id="0" w:name="_Toc88218408"/>
      <w:bookmarkStart w:id="1" w:name="_Toc18829"/>
      <w:bookmarkStart w:id="2" w:name="_Toc89702787"/>
      <w:bookmarkStart w:id="3" w:name="_Toc12601"/>
      <w:bookmarkStart w:id="4" w:name="_Toc88219319"/>
      <w:bookmarkStart w:id="5" w:name="_Toc28975"/>
      <w:r>
        <w:rPr>
          <w:rFonts w:hint="eastAsia"/>
          <w:color w:val="auto"/>
          <w:lang w:val="en-US" w:eastAsia="zh-CN"/>
        </w:rPr>
        <w:t>一、</w:t>
      </w:r>
      <w:r>
        <w:rPr>
          <w:rFonts w:hint="eastAsia"/>
          <w:color w:val="auto"/>
        </w:rPr>
        <w:t>本科教育基本情况</w:t>
      </w:r>
      <w:bookmarkEnd w:id="0"/>
      <w:bookmarkEnd w:id="1"/>
      <w:bookmarkEnd w:id="2"/>
      <w:bookmarkEnd w:id="3"/>
      <w:bookmarkEnd w:id="4"/>
      <w:bookmarkEnd w:id="5"/>
    </w:p>
    <w:p>
      <w:pPr>
        <w:pStyle w:val="3"/>
        <w:spacing w:before="156" w:after="156"/>
        <w:rPr>
          <w:rFonts w:ascii="黑体" w:hAnsi="黑体" w:eastAsia="黑体"/>
          <w:color w:val="auto"/>
          <w:sz w:val="28"/>
        </w:rPr>
      </w:pPr>
      <w:bookmarkStart w:id="6" w:name="_Toc22930"/>
      <w:bookmarkStart w:id="7" w:name="_Toc89702788"/>
      <w:bookmarkStart w:id="8" w:name="_Toc14059"/>
      <w:bookmarkStart w:id="9" w:name="_Toc24444"/>
      <w:bookmarkStart w:id="10" w:name="_Toc88218409"/>
      <w:bookmarkStart w:id="11" w:name="_Toc88219320"/>
      <w:r>
        <w:rPr>
          <w:rFonts w:hint="eastAsia" w:ascii="黑体" w:hAnsi="黑体" w:eastAsia="黑体"/>
          <w:color w:val="auto"/>
          <w:sz w:val="28"/>
          <w:lang w:eastAsia="zh-CN"/>
        </w:rPr>
        <w:t>（</w:t>
      </w:r>
      <w:r>
        <w:rPr>
          <w:rFonts w:hint="eastAsia" w:ascii="黑体" w:hAnsi="黑体" w:eastAsia="黑体"/>
          <w:color w:val="auto"/>
          <w:sz w:val="28"/>
          <w:lang w:val="en-US" w:eastAsia="zh-CN"/>
        </w:rPr>
        <w:t>一</w:t>
      </w:r>
      <w:r>
        <w:rPr>
          <w:rFonts w:hint="eastAsia" w:ascii="黑体" w:hAnsi="黑体" w:eastAsia="黑体"/>
          <w:color w:val="auto"/>
          <w:sz w:val="28"/>
          <w:lang w:eastAsia="zh-CN"/>
        </w:rPr>
        <w:t>）</w:t>
      </w:r>
      <w:r>
        <w:rPr>
          <w:rFonts w:hint="eastAsia" w:ascii="黑体" w:hAnsi="黑体" w:eastAsia="黑体"/>
          <w:color w:val="auto"/>
          <w:sz w:val="28"/>
        </w:rPr>
        <w:t>人才培养目标</w:t>
      </w:r>
      <w:bookmarkEnd w:id="6"/>
      <w:bookmarkEnd w:id="7"/>
      <w:bookmarkEnd w:id="8"/>
      <w:bookmarkEnd w:id="9"/>
      <w:bookmarkEnd w:id="10"/>
      <w:bookmarkEnd w:id="11"/>
    </w:p>
    <w:p>
      <w:pPr>
        <w:ind w:firstLine="480"/>
        <w:rPr>
          <w:rFonts w:ascii="宋体" w:hAnsi="宋体" w:cs="宋体"/>
          <w:color w:val="auto"/>
        </w:rPr>
      </w:pPr>
      <w:r>
        <w:rPr>
          <w:rFonts w:hint="eastAsia" w:ascii="宋体" w:hAnsi="宋体" w:cs="宋体"/>
          <w:color w:val="auto"/>
        </w:rPr>
        <w:t>学校贯彻党的教育方针，坚持社会主义办学方向，落实立德树人根本任务，培养德智体美劳全面发展，具有社会责任感、创新精神和实践能力的高级专门人才。</w:t>
      </w:r>
    </w:p>
    <w:p>
      <w:pPr>
        <w:pStyle w:val="3"/>
        <w:spacing w:before="156" w:after="156"/>
        <w:rPr>
          <w:rFonts w:ascii="黑体" w:hAnsi="黑体" w:eastAsia="黑体"/>
          <w:color w:val="auto"/>
          <w:sz w:val="28"/>
        </w:rPr>
      </w:pPr>
      <w:bookmarkStart w:id="12" w:name="_Toc89702789"/>
      <w:bookmarkStart w:id="13" w:name="_Toc16530"/>
      <w:bookmarkStart w:id="14" w:name="_Toc19008"/>
      <w:bookmarkStart w:id="15" w:name="_Toc88219321"/>
      <w:bookmarkStart w:id="16" w:name="_Toc4492"/>
      <w:bookmarkStart w:id="17" w:name="_Toc88218410"/>
      <w:r>
        <w:rPr>
          <w:rFonts w:hint="eastAsia" w:ascii="黑体" w:hAnsi="黑体" w:eastAsia="黑体"/>
          <w:color w:val="auto"/>
          <w:sz w:val="28"/>
          <w:lang w:eastAsia="zh-CN"/>
        </w:rPr>
        <w:t>（</w:t>
      </w:r>
      <w:r>
        <w:rPr>
          <w:rFonts w:hint="eastAsia" w:ascii="黑体" w:hAnsi="黑体" w:eastAsia="黑体"/>
          <w:color w:val="auto"/>
          <w:sz w:val="28"/>
          <w:lang w:val="en-US" w:eastAsia="zh-CN"/>
        </w:rPr>
        <w:t>二</w:t>
      </w:r>
      <w:r>
        <w:rPr>
          <w:rFonts w:hint="eastAsia" w:ascii="黑体" w:hAnsi="黑体" w:eastAsia="黑体"/>
          <w:color w:val="auto"/>
          <w:sz w:val="28"/>
          <w:lang w:eastAsia="zh-CN"/>
        </w:rPr>
        <w:t>）</w:t>
      </w:r>
      <w:r>
        <w:rPr>
          <w:rFonts w:ascii="黑体" w:hAnsi="黑体" w:eastAsia="黑体"/>
          <w:color w:val="auto"/>
          <w:sz w:val="28"/>
        </w:rPr>
        <w:t>学科专业设置</w:t>
      </w:r>
      <w:bookmarkEnd w:id="12"/>
      <w:bookmarkEnd w:id="13"/>
      <w:bookmarkEnd w:id="14"/>
      <w:bookmarkEnd w:id="15"/>
      <w:bookmarkEnd w:id="16"/>
      <w:bookmarkEnd w:id="17"/>
    </w:p>
    <w:p>
      <w:pPr>
        <w:ind w:firstLine="480"/>
        <w:rPr>
          <w:rFonts w:hint="eastAsia" w:ascii="宋体" w:hAnsi="宋体" w:cs="宋体"/>
          <w:color w:val="auto"/>
        </w:rPr>
      </w:pPr>
      <w:r>
        <w:rPr>
          <w:rFonts w:hint="eastAsia" w:ascii="宋体" w:hAnsi="宋体" w:cs="宋体"/>
          <w:color w:val="auto"/>
        </w:rPr>
        <w:t>学校共有</w:t>
      </w:r>
      <w:r>
        <w:rPr>
          <w:rFonts w:hint="eastAsia" w:ascii="宋体" w:hAnsi="宋体" w:cs="宋体"/>
          <w:color w:val="auto"/>
          <w:lang w:val="en-US" w:eastAsia="zh-CN"/>
        </w:rPr>
        <w:t>79</w:t>
      </w:r>
      <w:r>
        <w:rPr>
          <w:rFonts w:hint="eastAsia" w:ascii="宋体" w:hAnsi="宋体" w:cs="宋体"/>
          <w:color w:val="auto"/>
        </w:rPr>
        <w:t>个本科专业，涵盖</w:t>
      </w:r>
      <w:r>
        <w:rPr>
          <w:rFonts w:ascii="宋体" w:hAnsi="宋体" w:cs="宋体"/>
          <w:color w:val="auto"/>
        </w:rPr>
        <w:t>10大学科门类见图1，其中师范专业21个，</w:t>
      </w:r>
      <w:r>
        <w:rPr>
          <w:rFonts w:hint="eastAsia" w:ascii="宋体" w:hAnsi="宋体" w:cs="宋体"/>
          <w:color w:val="auto"/>
        </w:rPr>
        <w:t>占专业总数的</w:t>
      </w:r>
      <w:r>
        <w:rPr>
          <w:rFonts w:ascii="宋体" w:hAnsi="宋体" w:cs="宋体"/>
          <w:color w:val="auto"/>
        </w:rPr>
        <w:t>2</w:t>
      </w:r>
      <w:r>
        <w:rPr>
          <w:rFonts w:hint="eastAsia" w:ascii="宋体" w:hAnsi="宋体" w:cs="宋体"/>
          <w:color w:val="auto"/>
          <w:lang w:val="en-US" w:eastAsia="zh-CN"/>
        </w:rPr>
        <w:t>6.6</w:t>
      </w:r>
      <w:r>
        <w:rPr>
          <w:rFonts w:ascii="宋体" w:hAnsi="宋体" w:cs="宋体"/>
          <w:color w:val="auto"/>
        </w:rPr>
        <w:t>%；非师范专业</w:t>
      </w:r>
      <w:r>
        <w:rPr>
          <w:rFonts w:hint="eastAsia" w:ascii="宋体" w:hAnsi="宋体" w:cs="宋体"/>
          <w:color w:val="auto"/>
          <w:lang w:val="en-US" w:eastAsia="zh-CN"/>
        </w:rPr>
        <w:t>58</w:t>
      </w:r>
      <w:r>
        <w:rPr>
          <w:rFonts w:hint="eastAsia" w:ascii="宋体" w:hAnsi="宋体" w:cs="宋体"/>
          <w:color w:val="auto"/>
        </w:rPr>
        <w:t>个，占专业总数的</w:t>
      </w:r>
      <w:r>
        <w:rPr>
          <w:rFonts w:ascii="宋体" w:hAnsi="宋体" w:cs="宋体"/>
          <w:color w:val="auto"/>
        </w:rPr>
        <w:t>7</w:t>
      </w:r>
      <w:r>
        <w:rPr>
          <w:rFonts w:hint="eastAsia" w:ascii="宋体" w:hAnsi="宋体" w:cs="宋体"/>
          <w:color w:val="auto"/>
          <w:lang w:val="en-US" w:eastAsia="zh-CN"/>
        </w:rPr>
        <w:t>3.4</w:t>
      </w:r>
      <w:r>
        <w:rPr>
          <w:rFonts w:ascii="宋体" w:hAnsi="宋体" w:cs="宋体"/>
          <w:color w:val="auto"/>
        </w:rPr>
        <w:t>%，形成了以文理基础学科为主体、教育艺术学科为特色、与区域战略性新兴产业紧密结合的工学和管理学等应用学科为增长点的学科专业体系。结合人才社会需求和学校专业结构调整需要，202</w:t>
      </w:r>
      <w:r>
        <w:rPr>
          <w:rFonts w:hint="eastAsia" w:ascii="宋体" w:hAnsi="宋体" w:cs="宋体"/>
          <w:color w:val="auto"/>
          <w:lang w:val="en-US" w:eastAsia="zh-CN"/>
        </w:rPr>
        <w:t>3</w:t>
      </w:r>
      <w:r>
        <w:rPr>
          <w:rFonts w:hint="eastAsia" w:ascii="宋体" w:hAnsi="宋体" w:cs="宋体"/>
          <w:color w:val="auto"/>
        </w:rPr>
        <w:t>年学校招生专业数为</w:t>
      </w:r>
      <w:r>
        <w:rPr>
          <w:rFonts w:hint="eastAsia" w:ascii="宋体" w:hAnsi="宋体" w:cs="宋体"/>
          <w:color w:val="auto"/>
          <w:lang w:val="en-US" w:eastAsia="zh-CN"/>
        </w:rPr>
        <w:t>71</w:t>
      </w:r>
      <w:r>
        <w:rPr>
          <w:rFonts w:hint="eastAsia" w:ascii="宋体" w:hAnsi="宋体" w:cs="宋体"/>
          <w:color w:val="auto"/>
        </w:rPr>
        <w:t>个。</w:t>
      </w:r>
    </w:p>
    <w:p>
      <w:pPr>
        <w:ind w:firstLine="480"/>
        <w:rPr>
          <w:rFonts w:hint="eastAsia" w:ascii="宋体" w:hAnsi="宋体" w:cs="宋体"/>
          <w:color w:val="auto"/>
        </w:rPr>
      </w:pPr>
    </w:p>
    <w:p>
      <w:pPr>
        <w:spacing w:line="240" w:lineRule="auto"/>
        <w:ind w:firstLine="0" w:firstLineChars="0"/>
        <w:jc w:val="center"/>
        <w:rPr>
          <w:rFonts w:ascii="宋体" w:hAnsi="宋体" w:cs="宋体"/>
          <w:color w:val="auto"/>
        </w:rPr>
      </w:pPr>
      <w:r>
        <w:rPr>
          <w:rFonts w:hint="eastAsia" w:ascii="黑体" w:hAnsi="黑体" w:eastAsia="黑体"/>
          <w:color w:val="auto"/>
          <w:sz w:val="24"/>
          <w:szCs w:val="24"/>
          <w:lang w:eastAsia="zh-CN"/>
        </w:rPr>
        <w:drawing>
          <wp:inline distT="0" distB="0" distL="114300" distR="114300">
            <wp:extent cx="3851910" cy="2810510"/>
            <wp:effectExtent l="4445" t="4445" r="10795" b="23495"/>
            <wp:docPr id="8" name="图表 8" descr="{{各学科专业占比情况}}"/>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pPr>
        <w:pStyle w:val="6"/>
        <w:spacing w:before="156" w:beforeLines="50" w:after="156" w:afterLines="50" w:line="240" w:lineRule="auto"/>
        <w:ind w:firstLine="0" w:firstLineChars="0"/>
        <w:jc w:val="center"/>
        <w:rPr>
          <w:rFonts w:ascii="宋体" w:hAnsi="宋体" w:eastAsia="宋体" w:cs="宋体"/>
          <w:color w:val="auto"/>
          <w:sz w:val="21"/>
          <w:szCs w:val="21"/>
        </w:rPr>
      </w:pPr>
      <w:bookmarkStart w:id="18" w:name="好"/>
      <w:bookmarkEnd w:id="18"/>
      <w:bookmarkStart w:id="19" w:name="_Toc88218512"/>
      <w:r>
        <w:rPr>
          <w:rFonts w:hint="eastAsia" w:ascii="宋体" w:hAnsi="宋体" w:eastAsia="宋体" w:cs="宋体"/>
          <w:color w:val="auto"/>
          <w:sz w:val="21"/>
          <w:szCs w:val="21"/>
        </w:rPr>
        <w:t>图</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SEQ 图 \* ARABIC </w:instrText>
      </w:r>
      <w:r>
        <w:rPr>
          <w:rFonts w:hint="eastAsia" w:ascii="宋体" w:hAnsi="宋体" w:eastAsia="宋体" w:cs="宋体"/>
          <w:color w:val="auto"/>
          <w:sz w:val="21"/>
          <w:szCs w:val="21"/>
        </w:rPr>
        <w:fldChar w:fldCharType="separate"/>
      </w:r>
      <w:r>
        <w:rPr>
          <w:rFonts w:ascii="宋体" w:hAnsi="宋体" w:eastAsia="宋体" w:cs="宋体"/>
          <w:color w:val="auto"/>
          <w:sz w:val="21"/>
          <w:szCs w:val="21"/>
        </w:rPr>
        <w:t>1</w:t>
      </w:r>
      <w:r>
        <w:rPr>
          <w:rFonts w:hint="eastAsia" w:ascii="宋体" w:hAnsi="宋体" w:eastAsia="宋体" w:cs="宋体"/>
          <w:color w:val="auto"/>
          <w:sz w:val="21"/>
          <w:szCs w:val="21"/>
        </w:rPr>
        <w:fldChar w:fldCharType="end"/>
      </w:r>
      <w:bookmarkStart w:id="20" w:name="_Toc489"/>
      <w:r>
        <w:rPr>
          <w:rFonts w:hint="eastAsia" w:ascii="宋体" w:hAnsi="宋体" w:eastAsia="宋体" w:cs="宋体"/>
          <w:color w:val="auto"/>
          <w:sz w:val="21"/>
          <w:szCs w:val="21"/>
        </w:rPr>
        <w:t>各学科专业占比情况</w:t>
      </w:r>
      <w:bookmarkEnd w:id="19"/>
      <w:bookmarkEnd w:id="20"/>
    </w:p>
    <w:p>
      <w:pPr>
        <w:spacing w:after="156" w:afterLines="50"/>
        <w:ind w:firstLine="480" w:firstLineChars="0"/>
        <w:rPr>
          <w:rFonts w:ascii="宋体" w:hAnsi="宋体" w:cs="宋体"/>
          <w:color w:val="auto"/>
        </w:rPr>
      </w:pPr>
      <w:r>
        <w:rPr>
          <w:rFonts w:hint="eastAsia" w:ascii="宋体" w:hAnsi="宋体" w:cs="宋体"/>
          <w:color w:val="auto"/>
        </w:rPr>
        <w:t>学校现有一级学科博士学位授权点1个，专业学位博士授权点1个；一级学科硕士学位授权点23个，专业学位硕士授权点21个。化学、临床医学、植物与动物学、神经系统学与行为学、工程学、材料科学、环境与生态学、生物学与生物化学、数学、农业科学、药理学与毒理学、精神病学与心理学和一般社会科学总论等13个学科进入ESI全球前1%，其中化学、数学、植物学与动物学进入前5‰。</w:t>
      </w:r>
    </w:p>
    <w:p>
      <w:pPr>
        <w:pStyle w:val="3"/>
        <w:spacing w:before="156" w:after="156"/>
        <w:rPr>
          <w:rFonts w:ascii="黑体" w:hAnsi="黑体" w:eastAsia="黑体"/>
          <w:color w:val="auto"/>
          <w:sz w:val="28"/>
        </w:rPr>
      </w:pPr>
      <w:bookmarkStart w:id="21" w:name="_Toc5554"/>
      <w:bookmarkStart w:id="22" w:name="_Toc1635"/>
      <w:bookmarkStart w:id="23" w:name="_Toc88218411"/>
      <w:bookmarkStart w:id="24" w:name="_Toc25946"/>
      <w:bookmarkStart w:id="25" w:name="_Toc89702790"/>
      <w:bookmarkStart w:id="26" w:name="_Toc88219322"/>
      <w:r>
        <w:rPr>
          <w:rFonts w:hint="eastAsia" w:ascii="黑体" w:hAnsi="黑体" w:eastAsia="黑体"/>
          <w:color w:val="auto"/>
          <w:sz w:val="28"/>
          <w:lang w:eastAsia="zh-CN"/>
        </w:rPr>
        <w:t>（</w:t>
      </w:r>
      <w:r>
        <w:rPr>
          <w:rFonts w:hint="eastAsia" w:ascii="黑体" w:hAnsi="黑体" w:eastAsia="黑体"/>
          <w:color w:val="auto"/>
          <w:sz w:val="28"/>
          <w:lang w:val="en-US" w:eastAsia="zh-CN"/>
        </w:rPr>
        <w:t>三</w:t>
      </w:r>
      <w:r>
        <w:rPr>
          <w:rFonts w:hint="eastAsia" w:ascii="黑体" w:hAnsi="黑体" w:eastAsia="黑体"/>
          <w:color w:val="auto"/>
          <w:sz w:val="28"/>
          <w:lang w:eastAsia="zh-CN"/>
        </w:rPr>
        <w:t>）</w:t>
      </w:r>
      <w:r>
        <w:rPr>
          <w:rFonts w:hint="eastAsia" w:ascii="黑体" w:hAnsi="黑体" w:eastAsia="黑体"/>
          <w:color w:val="auto"/>
          <w:sz w:val="28"/>
        </w:rPr>
        <w:t>在校生规模</w:t>
      </w:r>
      <w:bookmarkEnd w:id="21"/>
      <w:bookmarkEnd w:id="22"/>
      <w:bookmarkEnd w:id="23"/>
      <w:bookmarkEnd w:id="24"/>
      <w:bookmarkEnd w:id="25"/>
      <w:bookmarkEnd w:id="26"/>
    </w:p>
    <w:p>
      <w:pPr>
        <w:ind w:firstLine="480"/>
        <w:rPr>
          <w:rFonts w:ascii="宋体" w:hAnsi="宋体" w:cs="宋体"/>
          <w:color w:val="auto"/>
        </w:rPr>
      </w:pPr>
      <w:r>
        <w:rPr>
          <w:rFonts w:hint="eastAsia" w:ascii="宋体" w:hAnsi="宋体" w:eastAsia="宋体"/>
          <w:color w:val="auto"/>
          <w:sz w:val="24"/>
          <w:szCs w:val="24"/>
          <w:lang w:val="en-US" w:eastAsia="zh-CN"/>
        </w:rPr>
        <w:t>2022-2023</w:t>
      </w:r>
      <w:r>
        <w:rPr>
          <w:rFonts w:hint="eastAsia" w:ascii="宋体" w:hAnsi="宋体" w:eastAsia="宋体"/>
          <w:color w:val="auto"/>
          <w:sz w:val="24"/>
          <w:szCs w:val="24"/>
        </w:rPr>
        <w:t>学年</w:t>
      </w:r>
      <w:r>
        <w:rPr>
          <w:rFonts w:hint="eastAsia" w:ascii="宋体" w:hAnsi="宋体" w:cs="宋体"/>
          <w:color w:val="auto"/>
        </w:rPr>
        <w:t>全日制在校生</w:t>
      </w:r>
      <w:r>
        <w:rPr>
          <w:rFonts w:hint="eastAsia" w:ascii="宋体" w:hAnsi="宋体" w:cs="宋体"/>
          <w:color w:val="auto"/>
          <w:highlight w:val="none"/>
          <w:lang w:val="en-US" w:eastAsia="zh-CN"/>
        </w:rPr>
        <w:t>31589</w:t>
      </w:r>
      <w:r>
        <w:rPr>
          <w:rFonts w:hint="eastAsia" w:ascii="宋体" w:hAnsi="宋体" w:cs="宋体"/>
          <w:color w:val="auto"/>
        </w:rPr>
        <w:t>人，其中本科生</w:t>
      </w:r>
      <w:r>
        <w:rPr>
          <w:rFonts w:ascii="宋体" w:hAnsi="宋体" w:cs="宋体"/>
          <w:color w:val="auto"/>
        </w:rPr>
        <w:t>23</w:t>
      </w:r>
      <w:r>
        <w:rPr>
          <w:rFonts w:hint="eastAsia" w:ascii="宋体" w:hAnsi="宋体" w:cs="宋体"/>
          <w:color w:val="auto"/>
          <w:lang w:val="en-US" w:eastAsia="zh-CN"/>
        </w:rPr>
        <w:t>971</w:t>
      </w:r>
      <w:r>
        <w:rPr>
          <w:rFonts w:hint="eastAsia" w:ascii="宋体" w:hAnsi="宋体" w:cs="宋体"/>
          <w:color w:val="auto"/>
        </w:rPr>
        <w:t>人。本科生占全日制在校学生总人数的</w:t>
      </w:r>
      <w:r>
        <w:rPr>
          <w:rFonts w:hint="eastAsia" w:ascii="宋体" w:hAnsi="宋体" w:cs="宋体"/>
          <w:color w:val="auto"/>
          <w:lang w:val="en-US" w:eastAsia="zh-CN"/>
        </w:rPr>
        <w:t>75.88</w:t>
      </w:r>
      <w:r>
        <w:rPr>
          <w:rFonts w:hint="eastAsia" w:ascii="宋体" w:hAnsi="宋体" w:cs="宋体"/>
          <w:color w:val="auto"/>
        </w:rPr>
        <w:t>%。</w:t>
      </w:r>
      <w:bookmarkStart w:id="27" w:name="_Toc501095210"/>
      <w:bookmarkStart w:id="28" w:name="_Toc501093666"/>
    </w:p>
    <w:p>
      <w:pPr>
        <w:jc w:val="left"/>
        <w:rPr>
          <w:color w:val="auto"/>
        </w:rPr>
      </w:pPr>
      <w:bookmarkStart w:id="29" w:name="_Toc88218479"/>
      <w:r>
        <w:rPr>
          <w:rFonts w:hint="eastAsia" w:ascii="宋体" w:hAnsi="宋体" w:eastAsia="宋体"/>
          <w:color w:val="auto"/>
          <w:sz w:val="24"/>
          <w:szCs w:val="24"/>
        </w:rPr>
        <w:t>各类在校生的人数情况如表1所示（按时点统计）。</w:t>
      </w:r>
    </w:p>
    <w:p>
      <w:pPr>
        <w:jc w:val="center"/>
        <w:rPr>
          <w:rFonts w:hint="eastAsia" w:ascii="宋体" w:hAnsi="宋体" w:eastAsia="宋体"/>
          <w:color w:val="auto"/>
          <w:sz w:val="24"/>
          <w:szCs w:val="24"/>
        </w:rPr>
      </w:pPr>
      <w:r>
        <w:rPr>
          <w:color w:val="auto"/>
        </w:rPr>
        <w:tab/>
      </w:r>
      <w:r>
        <w:rPr>
          <w:rFonts w:hint="eastAsia" w:ascii="宋体" w:hAnsi="宋体" w:eastAsia="宋体"/>
          <w:color w:val="auto"/>
          <w:sz w:val="24"/>
          <w:szCs w:val="24"/>
        </w:rPr>
        <w:t>表1 各类学生人数一览表</w:t>
      </w:r>
    </w:p>
    <w:tbl>
      <w:tblPr>
        <w:tblStyle w:val="19"/>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3218"/>
        <w:gridCol w:w="3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259" w:type="dxa"/>
            <w:gridSpan w:val="2"/>
            <w:vAlign w:val="center"/>
          </w:tcPr>
          <w:p>
            <w:pPr>
              <w:jc w:val="center"/>
              <w:rPr>
                <w:rFonts w:hint="eastAsia" w:ascii="宋体" w:hAnsi="宋体" w:eastAsia="宋体"/>
                <w:color w:val="auto"/>
                <w:sz w:val="24"/>
                <w:szCs w:val="24"/>
                <w:vertAlign w:val="baseline"/>
              </w:rPr>
            </w:pPr>
            <w:r>
              <w:rPr>
                <w:rFonts w:hint="eastAsia" w:ascii="宋体" w:hAnsi="宋体" w:eastAsia="宋体"/>
                <w:b/>
                <w:color w:val="auto"/>
                <w:sz w:val="21"/>
                <w:szCs w:val="21"/>
              </w:rPr>
              <w:t>普通本科生数</w:t>
            </w:r>
          </w:p>
        </w:tc>
        <w:tc>
          <w:tcPr>
            <w:tcW w:w="3261" w:type="dxa"/>
            <w:vAlign w:val="center"/>
          </w:tcPr>
          <w:p>
            <w:pPr>
              <w:jc w:val="center"/>
              <w:rPr>
                <w:rFonts w:hint="eastAsia" w:ascii="宋体" w:hAnsi="宋体" w:eastAsia="宋体"/>
                <w:color w:val="auto"/>
                <w:sz w:val="24"/>
                <w:szCs w:val="24"/>
                <w:vertAlign w:val="baseline"/>
              </w:rPr>
            </w:pPr>
            <w:r>
              <w:rPr>
                <w:rFonts w:hint="eastAsia" w:ascii="宋体" w:hAnsi="宋体" w:eastAsia="宋体"/>
                <w:color w:val="auto"/>
                <w:sz w:val="21"/>
                <w:szCs w:val="21"/>
                <w:lang w:val="en-US" w:eastAsia="zh-CN"/>
              </w:rPr>
              <w:t>25239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41" w:type="dxa"/>
            <w:vMerge w:val="restart"/>
            <w:vAlign w:val="center"/>
          </w:tcPr>
          <w:p>
            <w:pPr>
              <w:jc w:val="center"/>
              <w:rPr>
                <w:rFonts w:hint="eastAsia" w:ascii="宋体" w:hAnsi="宋体" w:eastAsia="宋体"/>
                <w:color w:val="auto"/>
                <w:sz w:val="24"/>
                <w:szCs w:val="24"/>
                <w:vertAlign w:val="baseline"/>
              </w:rPr>
            </w:pPr>
            <w:r>
              <w:rPr>
                <w:rFonts w:hint="eastAsia" w:ascii="宋体" w:hAnsi="宋体" w:eastAsia="宋体"/>
                <w:b/>
                <w:color w:val="auto"/>
                <w:sz w:val="21"/>
                <w:szCs w:val="21"/>
              </w:rPr>
              <w:t>硕士研究生数</w:t>
            </w:r>
          </w:p>
        </w:tc>
        <w:tc>
          <w:tcPr>
            <w:tcW w:w="3218" w:type="dxa"/>
            <w:vAlign w:val="center"/>
          </w:tcPr>
          <w:p>
            <w:pPr>
              <w:jc w:val="center"/>
              <w:rPr>
                <w:rFonts w:hint="eastAsia" w:ascii="宋体" w:hAnsi="宋体" w:eastAsia="宋体"/>
                <w:color w:val="auto"/>
                <w:sz w:val="24"/>
                <w:szCs w:val="24"/>
                <w:vertAlign w:val="baseline"/>
              </w:rPr>
            </w:pPr>
            <w:r>
              <w:rPr>
                <w:rFonts w:hint="eastAsia" w:ascii="宋体" w:hAnsi="宋体" w:eastAsia="宋体"/>
                <w:b/>
                <w:color w:val="auto"/>
                <w:sz w:val="21"/>
                <w:szCs w:val="21"/>
              </w:rPr>
              <w:t>全日制</w:t>
            </w:r>
          </w:p>
        </w:tc>
        <w:tc>
          <w:tcPr>
            <w:tcW w:w="3261" w:type="dxa"/>
            <w:vAlign w:val="center"/>
          </w:tcPr>
          <w:p>
            <w:pPr>
              <w:jc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5931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41" w:type="dxa"/>
            <w:vMerge w:val="continue"/>
            <w:vAlign w:val="center"/>
          </w:tcPr>
          <w:p>
            <w:pPr>
              <w:jc w:val="center"/>
              <w:rPr>
                <w:rFonts w:hint="eastAsia" w:ascii="宋体" w:hAnsi="宋体" w:eastAsia="宋体"/>
                <w:color w:val="auto"/>
                <w:sz w:val="24"/>
                <w:szCs w:val="24"/>
                <w:vertAlign w:val="baseline"/>
              </w:rPr>
            </w:pPr>
          </w:p>
        </w:tc>
        <w:tc>
          <w:tcPr>
            <w:tcW w:w="3218" w:type="dxa"/>
            <w:vAlign w:val="center"/>
          </w:tcPr>
          <w:p>
            <w:pPr>
              <w:jc w:val="center"/>
              <w:rPr>
                <w:rFonts w:hint="eastAsia" w:ascii="宋体" w:hAnsi="宋体" w:eastAsia="宋体"/>
                <w:color w:val="auto"/>
                <w:sz w:val="24"/>
                <w:szCs w:val="24"/>
                <w:vertAlign w:val="baseline"/>
              </w:rPr>
            </w:pPr>
            <w:r>
              <w:rPr>
                <w:rFonts w:hint="eastAsia" w:ascii="宋体" w:hAnsi="宋体" w:eastAsia="宋体"/>
                <w:b/>
                <w:color w:val="auto"/>
                <w:sz w:val="21"/>
                <w:szCs w:val="21"/>
                <w:lang w:val="en-US" w:eastAsia="zh-CN"/>
              </w:rPr>
              <w:t>非</w:t>
            </w:r>
            <w:r>
              <w:rPr>
                <w:rFonts w:hint="eastAsia" w:ascii="宋体" w:hAnsi="宋体" w:eastAsia="宋体"/>
                <w:b/>
                <w:color w:val="auto"/>
                <w:sz w:val="21"/>
                <w:szCs w:val="21"/>
              </w:rPr>
              <w:t>全日制</w:t>
            </w:r>
          </w:p>
        </w:tc>
        <w:tc>
          <w:tcPr>
            <w:tcW w:w="3261" w:type="dxa"/>
            <w:vAlign w:val="center"/>
          </w:tcPr>
          <w:p>
            <w:pPr>
              <w:jc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683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41" w:type="dxa"/>
            <w:vMerge w:val="restart"/>
            <w:vAlign w:val="center"/>
          </w:tcPr>
          <w:p>
            <w:pPr>
              <w:jc w:val="center"/>
              <w:rPr>
                <w:rFonts w:hint="eastAsia" w:ascii="宋体" w:hAnsi="宋体" w:eastAsia="宋体"/>
                <w:color w:val="auto"/>
                <w:sz w:val="24"/>
                <w:szCs w:val="24"/>
                <w:vertAlign w:val="baseline"/>
              </w:rPr>
            </w:pPr>
            <w:r>
              <w:rPr>
                <w:rFonts w:hint="eastAsia" w:ascii="宋体" w:hAnsi="宋体" w:eastAsia="宋体"/>
                <w:b/>
                <w:color w:val="auto"/>
                <w:sz w:val="21"/>
                <w:szCs w:val="21"/>
              </w:rPr>
              <w:t>博士研究生数</w:t>
            </w:r>
          </w:p>
        </w:tc>
        <w:tc>
          <w:tcPr>
            <w:tcW w:w="3218" w:type="dxa"/>
            <w:vAlign w:val="center"/>
          </w:tcPr>
          <w:p>
            <w:pPr>
              <w:jc w:val="center"/>
              <w:rPr>
                <w:rFonts w:hint="eastAsia" w:ascii="宋体" w:hAnsi="宋体" w:eastAsia="宋体"/>
                <w:color w:val="auto"/>
                <w:sz w:val="24"/>
                <w:szCs w:val="24"/>
                <w:vertAlign w:val="baseline"/>
              </w:rPr>
            </w:pPr>
            <w:r>
              <w:rPr>
                <w:rFonts w:hint="eastAsia" w:ascii="宋体" w:hAnsi="宋体" w:eastAsia="宋体"/>
                <w:b/>
                <w:color w:val="auto"/>
                <w:sz w:val="21"/>
                <w:szCs w:val="21"/>
              </w:rPr>
              <w:t>全日制</w:t>
            </w:r>
          </w:p>
        </w:tc>
        <w:tc>
          <w:tcPr>
            <w:tcW w:w="3261" w:type="dxa"/>
            <w:vAlign w:val="center"/>
          </w:tcPr>
          <w:p>
            <w:pPr>
              <w:jc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41" w:type="dxa"/>
            <w:vMerge w:val="continue"/>
            <w:vAlign w:val="center"/>
          </w:tcPr>
          <w:p>
            <w:pPr>
              <w:jc w:val="center"/>
              <w:rPr>
                <w:rFonts w:hint="eastAsia" w:ascii="宋体" w:hAnsi="宋体" w:eastAsia="宋体"/>
                <w:color w:val="auto"/>
                <w:sz w:val="24"/>
                <w:szCs w:val="24"/>
                <w:vertAlign w:val="baseline"/>
              </w:rPr>
            </w:pPr>
          </w:p>
        </w:tc>
        <w:tc>
          <w:tcPr>
            <w:tcW w:w="3218" w:type="dxa"/>
            <w:vAlign w:val="center"/>
          </w:tcPr>
          <w:p>
            <w:pPr>
              <w:jc w:val="center"/>
              <w:rPr>
                <w:rFonts w:hint="eastAsia" w:ascii="宋体" w:hAnsi="宋体" w:eastAsia="宋体"/>
                <w:color w:val="auto"/>
                <w:sz w:val="24"/>
                <w:szCs w:val="24"/>
                <w:vertAlign w:val="baseline"/>
              </w:rPr>
            </w:pPr>
            <w:r>
              <w:rPr>
                <w:rFonts w:hint="eastAsia" w:ascii="宋体" w:hAnsi="宋体" w:eastAsia="宋体"/>
                <w:b/>
                <w:color w:val="auto"/>
                <w:sz w:val="21"/>
                <w:szCs w:val="21"/>
                <w:lang w:val="en-US" w:eastAsia="zh-CN"/>
              </w:rPr>
              <w:t>非</w:t>
            </w:r>
            <w:r>
              <w:rPr>
                <w:rFonts w:hint="eastAsia" w:ascii="宋体" w:hAnsi="宋体" w:eastAsia="宋体"/>
                <w:b/>
                <w:color w:val="auto"/>
                <w:sz w:val="21"/>
                <w:szCs w:val="21"/>
              </w:rPr>
              <w:t>全日制</w:t>
            </w:r>
          </w:p>
        </w:tc>
        <w:tc>
          <w:tcPr>
            <w:tcW w:w="3261" w:type="dxa"/>
            <w:vAlign w:val="center"/>
          </w:tcPr>
          <w:p>
            <w:pPr>
              <w:jc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41" w:type="dxa"/>
            <w:vMerge w:val="restart"/>
            <w:vAlign w:val="center"/>
          </w:tcPr>
          <w:p>
            <w:pPr>
              <w:jc w:val="center"/>
              <w:rPr>
                <w:rFonts w:hint="eastAsia" w:ascii="宋体" w:hAnsi="宋体" w:eastAsia="宋体"/>
                <w:color w:val="auto"/>
                <w:sz w:val="24"/>
                <w:szCs w:val="24"/>
                <w:vertAlign w:val="baseline"/>
              </w:rPr>
            </w:pPr>
            <w:r>
              <w:rPr>
                <w:rFonts w:hint="eastAsia" w:ascii="宋体" w:hAnsi="宋体" w:eastAsia="宋体"/>
                <w:b/>
                <w:color w:val="auto"/>
                <w:sz w:val="21"/>
                <w:szCs w:val="21"/>
              </w:rPr>
              <w:t>留学生数</w:t>
            </w:r>
          </w:p>
        </w:tc>
        <w:tc>
          <w:tcPr>
            <w:tcW w:w="3218" w:type="dxa"/>
            <w:vAlign w:val="center"/>
          </w:tcPr>
          <w:p>
            <w:pPr>
              <w:jc w:val="center"/>
              <w:rPr>
                <w:rFonts w:hint="eastAsia" w:ascii="宋体" w:hAnsi="宋体" w:eastAsia="宋体"/>
                <w:color w:val="auto"/>
                <w:sz w:val="24"/>
                <w:szCs w:val="24"/>
                <w:vertAlign w:val="baseline"/>
              </w:rPr>
            </w:pPr>
            <w:r>
              <w:rPr>
                <w:rFonts w:hint="eastAsia" w:ascii="宋体" w:hAnsi="宋体" w:eastAsia="宋体"/>
                <w:b/>
                <w:color w:val="auto"/>
                <w:sz w:val="21"/>
                <w:szCs w:val="21"/>
              </w:rPr>
              <w:t>总数</w:t>
            </w:r>
          </w:p>
        </w:tc>
        <w:tc>
          <w:tcPr>
            <w:tcW w:w="3261" w:type="dxa"/>
            <w:vAlign w:val="center"/>
          </w:tcPr>
          <w:p>
            <w:pPr>
              <w:jc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284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41" w:type="dxa"/>
            <w:vMerge w:val="continue"/>
            <w:vAlign w:val="center"/>
          </w:tcPr>
          <w:p>
            <w:pPr>
              <w:jc w:val="center"/>
              <w:rPr>
                <w:rFonts w:hint="eastAsia" w:ascii="宋体" w:hAnsi="宋体" w:eastAsia="宋体"/>
                <w:color w:val="auto"/>
                <w:sz w:val="24"/>
                <w:szCs w:val="24"/>
                <w:vertAlign w:val="baseline"/>
              </w:rPr>
            </w:pPr>
          </w:p>
        </w:tc>
        <w:tc>
          <w:tcPr>
            <w:tcW w:w="3218" w:type="dxa"/>
            <w:vAlign w:val="center"/>
          </w:tcPr>
          <w:p>
            <w:pPr>
              <w:jc w:val="center"/>
              <w:rPr>
                <w:rFonts w:hint="eastAsia" w:ascii="宋体" w:hAnsi="宋体" w:eastAsia="宋体"/>
                <w:color w:val="auto"/>
                <w:sz w:val="24"/>
                <w:szCs w:val="24"/>
                <w:vertAlign w:val="baseline"/>
              </w:rPr>
            </w:pPr>
            <w:r>
              <w:rPr>
                <w:rFonts w:hint="eastAsia" w:ascii="宋体" w:hAnsi="宋体" w:eastAsia="宋体"/>
                <w:b/>
                <w:color w:val="auto"/>
                <w:sz w:val="21"/>
                <w:szCs w:val="21"/>
              </w:rPr>
              <w:t>其中：本科生数</w:t>
            </w:r>
          </w:p>
        </w:tc>
        <w:tc>
          <w:tcPr>
            <w:tcW w:w="3261" w:type="dxa"/>
            <w:vAlign w:val="center"/>
          </w:tcPr>
          <w:p>
            <w:pPr>
              <w:jc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41" w:type="dxa"/>
            <w:vMerge w:val="continue"/>
            <w:vAlign w:val="center"/>
          </w:tcPr>
          <w:p>
            <w:pPr>
              <w:jc w:val="center"/>
              <w:rPr>
                <w:rFonts w:hint="eastAsia" w:ascii="宋体" w:hAnsi="宋体" w:eastAsia="宋体"/>
                <w:color w:val="auto"/>
                <w:sz w:val="24"/>
                <w:szCs w:val="24"/>
                <w:vertAlign w:val="baseline"/>
              </w:rPr>
            </w:pPr>
          </w:p>
        </w:tc>
        <w:tc>
          <w:tcPr>
            <w:tcW w:w="3218" w:type="dxa"/>
            <w:vAlign w:val="center"/>
          </w:tcPr>
          <w:p>
            <w:pPr>
              <w:jc w:val="center"/>
              <w:rPr>
                <w:rFonts w:hint="eastAsia" w:ascii="宋体" w:hAnsi="宋体" w:eastAsia="宋体"/>
                <w:color w:val="auto"/>
                <w:sz w:val="24"/>
                <w:szCs w:val="24"/>
                <w:vertAlign w:val="baseline"/>
              </w:rPr>
            </w:pPr>
            <w:r>
              <w:rPr>
                <w:rFonts w:hint="eastAsia" w:ascii="宋体" w:hAnsi="宋体" w:eastAsia="宋体"/>
                <w:b/>
                <w:color w:val="auto"/>
                <w:sz w:val="21"/>
                <w:szCs w:val="21"/>
              </w:rPr>
              <w:t>硕士研究生数</w:t>
            </w:r>
          </w:p>
        </w:tc>
        <w:tc>
          <w:tcPr>
            <w:tcW w:w="3261" w:type="dxa"/>
            <w:vAlign w:val="center"/>
          </w:tcPr>
          <w:p>
            <w:pPr>
              <w:jc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259" w:type="dxa"/>
            <w:gridSpan w:val="2"/>
            <w:vAlign w:val="center"/>
          </w:tcPr>
          <w:p>
            <w:pPr>
              <w:jc w:val="center"/>
              <w:rPr>
                <w:rFonts w:hint="eastAsia" w:ascii="宋体" w:hAnsi="宋体" w:eastAsia="宋体"/>
                <w:color w:val="auto"/>
                <w:sz w:val="24"/>
                <w:szCs w:val="24"/>
                <w:vertAlign w:val="baseline"/>
              </w:rPr>
            </w:pPr>
            <w:r>
              <w:rPr>
                <w:rFonts w:hint="eastAsia" w:ascii="宋体" w:hAnsi="宋体" w:eastAsia="宋体"/>
                <w:b/>
                <w:color w:val="auto"/>
                <w:sz w:val="21"/>
                <w:szCs w:val="21"/>
              </w:rPr>
              <w:t>普通预科生数</w:t>
            </w:r>
          </w:p>
        </w:tc>
        <w:tc>
          <w:tcPr>
            <w:tcW w:w="3261" w:type="dxa"/>
            <w:vAlign w:val="center"/>
          </w:tcPr>
          <w:p>
            <w:pPr>
              <w:jc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259" w:type="dxa"/>
            <w:gridSpan w:val="2"/>
            <w:vAlign w:val="center"/>
          </w:tcPr>
          <w:p>
            <w:pPr>
              <w:jc w:val="center"/>
              <w:rPr>
                <w:rFonts w:hint="eastAsia" w:ascii="宋体" w:hAnsi="宋体" w:eastAsia="宋体"/>
                <w:color w:val="auto"/>
                <w:sz w:val="24"/>
                <w:szCs w:val="24"/>
                <w:vertAlign w:val="baseline"/>
              </w:rPr>
            </w:pPr>
            <w:r>
              <w:rPr>
                <w:rFonts w:hint="eastAsia" w:ascii="宋体" w:hAnsi="宋体" w:eastAsia="宋体"/>
                <w:b/>
                <w:color w:val="auto"/>
                <w:sz w:val="21"/>
                <w:szCs w:val="21"/>
              </w:rPr>
              <w:t>夜大（业余）学生数</w:t>
            </w:r>
          </w:p>
        </w:tc>
        <w:tc>
          <w:tcPr>
            <w:tcW w:w="3261" w:type="dxa"/>
            <w:vAlign w:val="center"/>
          </w:tcPr>
          <w:p>
            <w:pPr>
              <w:jc w:val="center"/>
              <w:rPr>
                <w:rFonts w:hint="eastAsia" w:ascii="宋体" w:hAnsi="宋体" w:eastAsia="宋体"/>
                <w:color w:val="auto"/>
                <w:sz w:val="24"/>
                <w:szCs w:val="24"/>
                <w:vertAlign w:val="baseline"/>
              </w:rPr>
            </w:pPr>
            <w:r>
              <w:rPr>
                <w:rFonts w:hint="eastAsia" w:ascii="宋体" w:hAnsi="宋体" w:eastAsia="宋体"/>
                <w:color w:val="auto"/>
                <w:sz w:val="21"/>
                <w:szCs w:val="21"/>
                <w:lang w:val="en-US" w:eastAsia="zh-CN"/>
              </w:rPr>
              <w:t>489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259" w:type="dxa"/>
            <w:gridSpan w:val="2"/>
            <w:vAlign w:val="center"/>
          </w:tcPr>
          <w:p>
            <w:pPr>
              <w:jc w:val="center"/>
              <w:rPr>
                <w:rFonts w:hint="eastAsia" w:ascii="宋体" w:hAnsi="宋体" w:eastAsia="宋体"/>
                <w:color w:val="auto"/>
                <w:sz w:val="24"/>
                <w:szCs w:val="24"/>
                <w:vertAlign w:val="baseline"/>
              </w:rPr>
            </w:pPr>
            <w:r>
              <w:rPr>
                <w:rFonts w:hint="eastAsia" w:ascii="宋体" w:hAnsi="宋体" w:eastAsia="宋体"/>
                <w:b/>
                <w:color w:val="auto"/>
                <w:sz w:val="21"/>
                <w:szCs w:val="21"/>
              </w:rPr>
              <w:t>函授学生数</w:t>
            </w:r>
          </w:p>
        </w:tc>
        <w:tc>
          <w:tcPr>
            <w:tcW w:w="3261" w:type="dxa"/>
            <w:vAlign w:val="center"/>
          </w:tcPr>
          <w:p>
            <w:pPr>
              <w:jc w:val="center"/>
              <w:rPr>
                <w:rFonts w:hint="eastAsia" w:ascii="宋体" w:hAnsi="宋体" w:eastAsia="宋体"/>
                <w:color w:val="auto"/>
                <w:sz w:val="24"/>
                <w:szCs w:val="24"/>
                <w:vertAlign w:val="baseline"/>
              </w:rPr>
            </w:pPr>
            <w:r>
              <w:rPr>
                <w:rFonts w:hint="eastAsia" w:ascii="宋体" w:hAnsi="宋体" w:eastAsia="宋体"/>
                <w:color w:val="auto"/>
                <w:sz w:val="21"/>
                <w:szCs w:val="21"/>
                <w:lang w:val="en-US" w:eastAsia="zh-CN"/>
              </w:rPr>
              <w:t>7023</w:t>
            </w:r>
          </w:p>
        </w:tc>
      </w:tr>
      <w:bookmarkEnd w:id="27"/>
      <w:bookmarkEnd w:id="28"/>
      <w:bookmarkEnd w:id="29"/>
    </w:tbl>
    <w:p>
      <w:pPr>
        <w:pStyle w:val="3"/>
        <w:spacing w:before="156" w:after="156"/>
        <w:rPr>
          <w:rFonts w:ascii="黑体" w:hAnsi="黑体" w:eastAsia="黑体"/>
          <w:color w:val="auto"/>
          <w:sz w:val="28"/>
        </w:rPr>
      </w:pPr>
      <w:bookmarkStart w:id="30" w:name="_Toc16629"/>
      <w:bookmarkStart w:id="31" w:name="_Toc89702791"/>
      <w:bookmarkStart w:id="32" w:name="_Toc88218412"/>
      <w:bookmarkStart w:id="33" w:name="_Toc15355"/>
      <w:bookmarkStart w:id="34" w:name="_Toc7130"/>
      <w:bookmarkStart w:id="35" w:name="_Toc88219323"/>
      <w:r>
        <w:rPr>
          <w:rFonts w:hint="eastAsia" w:ascii="黑体" w:hAnsi="黑体" w:eastAsia="黑体"/>
          <w:color w:val="auto"/>
          <w:sz w:val="28"/>
          <w:lang w:eastAsia="zh-CN"/>
        </w:rPr>
        <w:t>（</w:t>
      </w:r>
      <w:r>
        <w:rPr>
          <w:rFonts w:hint="eastAsia" w:ascii="黑体" w:hAnsi="黑体" w:eastAsia="黑体"/>
          <w:color w:val="auto"/>
          <w:sz w:val="28"/>
          <w:lang w:val="en-US" w:eastAsia="zh-CN"/>
        </w:rPr>
        <w:t>四</w:t>
      </w:r>
      <w:r>
        <w:rPr>
          <w:rFonts w:hint="eastAsia" w:ascii="黑体" w:hAnsi="黑体" w:eastAsia="黑体"/>
          <w:color w:val="auto"/>
          <w:sz w:val="28"/>
          <w:lang w:eastAsia="zh-CN"/>
        </w:rPr>
        <w:t>）</w:t>
      </w:r>
      <w:r>
        <w:rPr>
          <w:rFonts w:hint="eastAsia" w:ascii="黑体" w:hAnsi="黑体" w:eastAsia="黑体"/>
          <w:color w:val="auto"/>
          <w:sz w:val="28"/>
          <w:lang w:val="en-US" w:eastAsia="zh-CN"/>
        </w:rPr>
        <w:t>本科生</w:t>
      </w:r>
      <w:r>
        <w:rPr>
          <w:rFonts w:ascii="黑体" w:hAnsi="黑体" w:eastAsia="黑体"/>
          <w:color w:val="auto"/>
          <w:sz w:val="28"/>
        </w:rPr>
        <w:t>生源质量</w:t>
      </w:r>
      <w:bookmarkEnd w:id="30"/>
      <w:bookmarkEnd w:id="31"/>
      <w:bookmarkEnd w:id="32"/>
      <w:bookmarkEnd w:id="33"/>
      <w:bookmarkEnd w:id="34"/>
      <w:bookmarkEnd w:id="35"/>
    </w:p>
    <w:p>
      <w:pPr>
        <w:spacing w:after="156" w:afterLines="50"/>
        <w:ind w:firstLine="480"/>
        <w:rPr>
          <w:rFonts w:ascii="宋体" w:hAnsi="宋体" w:cs="宋体"/>
          <w:color w:val="auto"/>
          <w:u w:val="none"/>
        </w:rPr>
      </w:pPr>
      <w:r>
        <w:rPr>
          <w:rFonts w:ascii="宋体" w:hAnsi="宋体" w:cs="宋体"/>
          <w:color w:val="auto"/>
          <w:u w:val="none"/>
        </w:rPr>
        <w:t>202</w:t>
      </w:r>
      <w:r>
        <w:rPr>
          <w:rFonts w:hint="eastAsia" w:ascii="宋体" w:hAnsi="宋体" w:cs="宋体"/>
          <w:color w:val="auto"/>
          <w:u w:val="none"/>
          <w:lang w:val="en-US" w:eastAsia="zh-CN"/>
        </w:rPr>
        <w:t>3</w:t>
      </w:r>
      <w:r>
        <w:rPr>
          <w:rFonts w:ascii="宋体" w:hAnsi="宋体" w:cs="宋体"/>
          <w:color w:val="auto"/>
          <w:u w:val="none"/>
        </w:rPr>
        <w:t>年学校面向全国</w:t>
      </w:r>
      <w:r>
        <w:rPr>
          <w:rFonts w:hint="eastAsia" w:ascii="宋体" w:hAnsi="宋体" w:cs="宋体"/>
          <w:color w:val="auto"/>
          <w:u w:val="none"/>
          <w:lang w:val="en-US" w:eastAsia="zh-CN"/>
        </w:rPr>
        <w:t>26</w:t>
      </w:r>
      <w:r>
        <w:rPr>
          <w:rFonts w:ascii="宋体" w:hAnsi="宋体" w:cs="宋体"/>
          <w:color w:val="auto"/>
          <w:u w:val="none"/>
        </w:rPr>
        <w:t>个省（直辖市、自治区）</w:t>
      </w:r>
      <w:r>
        <w:rPr>
          <w:rFonts w:hint="eastAsia" w:ascii="宋体" w:hAnsi="宋体" w:eastAsia="宋体"/>
          <w:color w:val="auto"/>
          <w:sz w:val="24"/>
          <w:szCs w:val="24"/>
          <w:u w:val="none"/>
        </w:rPr>
        <w:t>计划招生</w:t>
      </w:r>
      <w:r>
        <w:rPr>
          <w:rFonts w:hint="eastAsia" w:ascii="宋体" w:hAnsi="宋体" w:eastAsia="宋体"/>
          <w:color w:val="auto"/>
          <w:sz w:val="24"/>
          <w:szCs w:val="24"/>
          <w:u w:val="none"/>
          <w:lang w:val="en-US" w:eastAsia="zh-CN"/>
        </w:rPr>
        <w:t>672</w:t>
      </w:r>
      <w:r>
        <w:rPr>
          <w:rFonts w:hint="eastAsia" w:ascii="宋体" w:hAnsi="宋体"/>
          <w:color w:val="auto"/>
          <w:sz w:val="24"/>
          <w:szCs w:val="24"/>
          <w:u w:val="none"/>
          <w:lang w:val="en-US" w:eastAsia="zh-CN"/>
        </w:rPr>
        <w:t>0</w:t>
      </w:r>
      <w:r>
        <w:rPr>
          <w:rFonts w:hint="eastAsia" w:ascii="宋体" w:hAnsi="宋体" w:eastAsia="宋体"/>
          <w:color w:val="auto"/>
          <w:sz w:val="24"/>
          <w:szCs w:val="24"/>
          <w:u w:val="none"/>
        </w:rPr>
        <w:t>人，</w:t>
      </w:r>
      <w:r>
        <w:rPr>
          <w:rFonts w:hint="eastAsia" w:ascii="宋体" w:hAnsi="宋体"/>
          <w:color w:val="auto"/>
          <w:sz w:val="24"/>
          <w:szCs w:val="24"/>
          <w:u w:val="none"/>
          <w:lang w:val="en-US" w:eastAsia="zh-CN"/>
        </w:rPr>
        <w:t>面向港澳台计划招生8人，</w:t>
      </w:r>
      <w:r>
        <w:rPr>
          <w:rFonts w:hint="eastAsia" w:ascii="宋体" w:hAnsi="宋体" w:eastAsia="宋体"/>
          <w:color w:val="auto"/>
          <w:sz w:val="24"/>
          <w:szCs w:val="24"/>
          <w:u w:val="none"/>
        </w:rPr>
        <w:t>实际录取考生</w:t>
      </w:r>
      <w:r>
        <w:rPr>
          <w:rFonts w:hint="eastAsia" w:ascii="宋体" w:hAnsi="宋体" w:eastAsia="宋体"/>
          <w:color w:val="auto"/>
          <w:sz w:val="24"/>
          <w:szCs w:val="24"/>
          <w:u w:val="none"/>
          <w:lang w:val="en-US" w:eastAsia="zh-CN"/>
        </w:rPr>
        <w:t>6740</w:t>
      </w:r>
      <w:r>
        <w:rPr>
          <w:rFonts w:hint="eastAsia" w:ascii="宋体" w:hAnsi="宋体" w:eastAsia="宋体"/>
          <w:color w:val="auto"/>
          <w:sz w:val="24"/>
          <w:szCs w:val="24"/>
          <w:u w:val="none"/>
        </w:rPr>
        <w:t>人，实际报到</w:t>
      </w:r>
      <w:r>
        <w:rPr>
          <w:rFonts w:hint="eastAsia" w:ascii="宋体" w:hAnsi="宋体" w:eastAsia="宋体"/>
          <w:color w:val="auto"/>
          <w:sz w:val="24"/>
          <w:szCs w:val="24"/>
          <w:u w:val="none"/>
          <w:lang w:val="en-US" w:eastAsia="zh-CN"/>
        </w:rPr>
        <w:t>6736</w:t>
      </w:r>
      <w:r>
        <w:rPr>
          <w:rFonts w:hint="eastAsia" w:ascii="宋体" w:hAnsi="宋体" w:eastAsia="宋体"/>
          <w:color w:val="auto"/>
          <w:sz w:val="24"/>
          <w:szCs w:val="24"/>
          <w:u w:val="none"/>
        </w:rPr>
        <w:t>人。实际录取率为</w:t>
      </w:r>
      <w:r>
        <w:rPr>
          <w:rFonts w:hint="eastAsia" w:ascii="宋体" w:hAnsi="宋体" w:eastAsia="宋体"/>
          <w:color w:val="auto"/>
          <w:sz w:val="24"/>
          <w:szCs w:val="24"/>
          <w:u w:val="none"/>
          <w:lang w:val="en-US" w:eastAsia="zh-CN"/>
        </w:rPr>
        <w:t>100.21</w:t>
      </w:r>
      <w:r>
        <w:rPr>
          <w:rFonts w:hint="eastAsia" w:ascii="宋体" w:hAnsi="宋体" w:eastAsia="宋体"/>
          <w:color w:val="auto"/>
          <w:sz w:val="24"/>
          <w:szCs w:val="24"/>
          <w:u w:val="none"/>
        </w:rPr>
        <w:t>%，实际报到率为</w:t>
      </w:r>
      <w:r>
        <w:rPr>
          <w:rFonts w:hint="eastAsia" w:ascii="宋体" w:hAnsi="宋体" w:eastAsia="宋体"/>
          <w:color w:val="auto"/>
          <w:sz w:val="24"/>
          <w:szCs w:val="24"/>
          <w:u w:val="none"/>
          <w:lang w:val="en-US" w:eastAsia="zh-CN"/>
        </w:rPr>
        <w:t>99.94</w:t>
      </w:r>
      <w:r>
        <w:rPr>
          <w:rFonts w:hint="eastAsia" w:ascii="宋体" w:hAnsi="宋体" w:eastAsia="宋体"/>
          <w:color w:val="auto"/>
          <w:sz w:val="24"/>
          <w:szCs w:val="24"/>
          <w:u w:val="none"/>
        </w:rPr>
        <w:t>%</w:t>
      </w:r>
      <w:r>
        <w:rPr>
          <w:rFonts w:hint="eastAsia" w:ascii="宋体" w:hAnsi="宋体"/>
          <w:color w:val="auto"/>
          <w:sz w:val="24"/>
          <w:szCs w:val="24"/>
          <w:u w:val="none"/>
          <w:lang w:eastAsia="zh-CN"/>
        </w:rPr>
        <w:t>，</w:t>
      </w:r>
      <w:r>
        <w:rPr>
          <w:rFonts w:hint="eastAsia" w:ascii="宋体" w:hAnsi="宋体"/>
          <w:color w:val="auto"/>
          <w:sz w:val="24"/>
          <w:szCs w:val="24"/>
          <w:u w:val="none"/>
          <w:lang w:val="en-US" w:eastAsia="zh-CN"/>
        </w:rPr>
        <w:t>接近100%</w:t>
      </w:r>
      <w:r>
        <w:rPr>
          <w:rFonts w:hint="eastAsia" w:ascii="宋体" w:hAnsi="宋体" w:eastAsia="宋体"/>
          <w:color w:val="auto"/>
          <w:sz w:val="24"/>
          <w:szCs w:val="24"/>
          <w:u w:val="none"/>
        </w:rPr>
        <w:t>。</w:t>
      </w:r>
      <w:r>
        <w:rPr>
          <w:rFonts w:hint="eastAsia" w:ascii="宋体" w:hAnsi="宋体" w:eastAsia="宋体"/>
          <w:color w:val="auto"/>
          <w:sz w:val="24"/>
          <w:szCs w:val="24"/>
          <w:u w:val="none"/>
          <w:lang w:eastAsia="zh-CN"/>
        </w:rPr>
        <w:t>特殊类型</w:t>
      </w:r>
      <w:r>
        <w:rPr>
          <w:rFonts w:hint="eastAsia" w:ascii="宋体" w:hAnsi="宋体" w:eastAsia="宋体"/>
          <w:color w:val="auto"/>
          <w:sz w:val="24"/>
          <w:szCs w:val="24"/>
          <w:u w:val="none"/>
        </w:rPr>
        <w:t>招生</w:t>
      </w:r>
      <w:r>
        <w:rPr>
          <w:rFonts w:hint="eastAsia" w:ascii="宋体" w:hAnsi="宋体" w:eastAsia="宋体"/>
          <w:color w:val="auto"/>
          <w:sz w:val="24"/>
          <w:szCs w:val="24"/>
          <w:u w:val="none"/>
          <w:lang w:val="en-US" w:eastAsia="zh-CN"/>
        </w:rPr>
        <w:t>1147</w:t>
      </w:r>
      <w:r>
        <w:rPr>
          <w:rFonts w:hint="eastAsia" w:ascii="宋体" w:hAnsi="宋体" w:eastAsia="宋体"/>
          <w:color w:val="auto"/>
          <w:sz w:val="24"/>
          <w:szCs w:val="24"/>
          <w:u w:val="none"/>
        </w:rPr>
        <w:t>人，招收本省学生</w:t>
      </w:r>
      <w:r>
        <w:rPr>
          <w:rFonts w:hint="eastAsia" w:ascii="宋体" w:hAnsi="宋体" w:eastAsia="宋体"/>
          <w:color w:val="auto"/>
          <w:sz w:val="24"/>
          <w:szCs w:val="24"/>
          <w:u w:val="none"/>
          <w:lang w:val="en-US" w:eastAsia="zh-CN"/>
        </w:rPr>
        <w:t>4646</w:t>
      </w:r>
      <w:r>
        <w:rPr>
          <w:rFonts w:hint="eastAsia" w:ascii="宋体" w:hAnsi="宋体" w:eastAsia="宋体"/>
          <w:color w:val="auto"/>
          <w:sz w:val="24"/>
          <w:szCs w:val="24"/>
          <w:u w:val="none"/>
        </w:rPr>
        <w:t>人</w:t>
      </w:r>
      <w:r>
        <w:rPr>
          <w:rFonts w:ascii="宋体" w:hAnsi="宋体" w:cs="宋体"/>
          <w:color w:val="auto"/>
          <w:u w:val="none"/>
        </w:rPr>
        <w:t>。</w:t>
      </w:r>
    </w:p>
    <w:p>
      <w:pPr>
        <w:spacing w:after="156" w:afterLines="50"/>
        <w:ind w:firstLine="480"/>
        <w:rPr>
          <w:rFonts w:ascii="宋体" w:hAnsi="宋体" w:cs="宋体"/>
          <w:color w:val="auto"/>
        </w:rPr>
      </w:pPr>
      <w:r>
        <w:rPr>
          <w:rFonts w:hint="eastAsia" w:ascii="宋体" w:hAnsi="宋体" w:cs="宋体"/>
          <w:color w:val="auto"/>
          <w:highlight w:val="none"/>
        </w:rPr>
        <w:t>今年所有专业按专业招生，学校整体生源</w:t>
      </w:r>
      <w:r>
        <w:rPr>
          <w:rFonts w:hint="eastAsia" w:ascii="宋体" w:hAnsi="宋体" w:cs="宋体"/>
          <w:color w:val="auto"/>
          <w:highlight w:val="none"/>
          <w:lang w:val="en-US" w:eastAsia="zh-CN"/>
        </w:rPr>
        <w:t>继续</w:t>
      </w:r>
      <w:r>
        <w:rPr>
          <w:rFonts w:hint="eastAsia" w:ascii="宋体" w:hAnsi="宋体" w:cs="宋体"/>
          <w:color w:val="auto"/>
          <w:highlight w:val="none"/>
        </w:rPr>
        <w:t>稳中有升</w:t>
      </w:r>
      <w:r>
        <w:rPr>
          <w:rFonts w:hint="eastAsia" w:ascii="宋体" w:hAnsi="宋体" w:cs="宋体"/>
          <w:color w:val="auto"/>
          <w:highlight w:val="none"/>
          <w:lang w:val="en-US" w:eastAsia="zh-CN"/>
        </w:rPr>
        <w:t>态势</w:t>
      </w:r>
      <w:r>
        <w:rPr>
          <w:rFonts w:hint="eastAsia" w:ascii="宋体" w:hAnsi="宋体" w:cs="宋体"/>
          <w:color w:val="auto"/>
          <w:highlight w:val="none"/>
        </w:rPr>
        <w:t>。省内计划全部在一段线上完成，</w:t>
      </w:r>
      <w:r>
        <w:rPr>
          <w:rFonts w:ascii="宋体" w:hAnsi="宋体" w:cs="宋体"/>
          <w:color w:val="auto"/>
          <w:highlight w:val="none"/>
        </w:rPr>
        <w:t>外省生源质量保持稳定，一本线上录取率达到100%，外省招生省份普通类录取批次均在第一批次。</w:t>
      </w:r>
    </w:p>
    <w:p>
      <w:pPr>
        <w:pStyle w:val="2"/>
        <w:numPr>
          <w:ilvl w:val="0"/>
          <w:numId w:val="0"/>
        </w:numPr>
        <w:rPr>
          <w:color w:val="auto"/>
        </w:rPr>
      </w:pPr>
      <w:bookmarkStart w:id="36" w:name="_Toc19739"/>
      <w:bookmarkStart w:id="37" w:name="_Toc88219324"/>
      <w:bookmarkStart w:id="38" w:name="_Toc88218413"/>
      <w:bookmarkStart w:id="39" w:name="_Toc22383"/>
      <w:bookmarkStart w:id="40" w:name="_Toc89702792"/>
      <w:bookmarkStart w:id="41" w:name="_Toc2716"/>
      <w:r>
        <w:rPr>
          <w:rFonts w:hint="eastAsia"/>
          <w:color w:val="auto"/>
          <w:lang w:val="en-US" w:eastAsia="zh-CN"/>
        </w:rPr>
        <w:t>二、</w:t>
      </w:r>
      <w:r>
        <w:rPr>
          <w:rFonts w:hint="eastAsia"/>
          <w:color w:val="auto"/>
        </w:rPr>
        <w:t>师资</w:t>
      </w:r>
      <w:bookmarkEnd w:id="36"/>
      <w:bookmarkEnd w:id="37"/>
      <w:bookmarkEnd w:id="38"/>
      <w:bookmarkEnd w:id="39"/>
      <w:bookmarkEnd w:id="40"/>
      <w:r>
        <w:rPr>
          <w:rFonts w:hint="eastAsia"/>
          <w:color w:val="auto"/>
          <w:lang w:val="en-US" w:eastAsia="zh-CN"/>
        </w:rPr>
        <w:t>与教学条件</w:t>
      </w:r>
      <w:bookmarkEnd w:id="41"/>
    </w:p>
    <w:p>
      <w:pPr>
        <w:pStyle w:val="3"/>
        <w:numPr>
          <w:ilvl w:val="0"/>
          <w:numId w:val="0"/>
        </w:numPr>
        <w:spacing w:before="156" w:after="156"/>
        <w:ind w:leftChars="0"/>
        <w:rPr>
          <w:rFonts w:hint="eastAsia" w:ascii="黑体" w:hAnsi="黑体" w:eastAsia="黑体"/>
          <w:color w:val="auto"/>
          <w:sz w:val="28"/>
          <w:lang w:val="en-US" w:eastAsia="zh-CN"/>
        </w:rPr>
      </w:pPr>
      <w:bookmarkStart w:id="42" w:name="_Toc734"/>
      <w:bookmarkStart w:id="43" w:name="_Toc88219325"/>
      <w:bookmarkStart w:id="44" w:name="_Toc89702793"/>
      <w:bookmarkStart w:id="45" w:name="_Toc13985"/>
      <w:bookmarkStart w:id="46" w:name="_Toc88218414"/>
      <w:bookmarkStart w:id="47" w:name="_Toc19746"/>
      <w:r>
        <w:rPr>
          <w:rFonts w:hint="eastAsia" w:ascii="黑体" w:hAnsi="黑体" w:eastAsia="黑体"/>
          <w:color w:val="auto"/>
          <w:sz w:val="28"/>
          <w:lang w:val="en-US" w:eastAsia="zh-CN"/>
        </w:rPr>
        <w:t>（一）师资队伍</w:t>
      </w:r>
      <w:bookmarkEnd w:id="42"/>
    </w:p>
    <w:p>
      <w:pPr>
        <w:pStyle w:val="3"/>
        <w:numPr>
          <w:ilvl w:val="0"/>
          <w:numId w:val="0"/>
        </w:numPr>
        <w:spacing w:before="156" w:after="156"/>
        <w:ind w:leftChars="0"/>
        <w:rPr>
          <w:rFonts w:ascii="黑体" w:hAnsi="黑体" w:eastAsia="黑体"/>
          <w:color w:val="auto"/>
          <w:sz w:val="28"/>
        </w:rPr>
      </w:pPr>
      <w:bookmarkStart w:id="48" w:name="_Toc6805"/>
      <w:r>
        <w:rPr>
          <w:rFonts w:hint="eastAsia" w:ascii="黑体" w:hAnsi="黑体" w:eastAsia="黑体"/>
          <w:color w:val="auto"/>
          <w:sz w:val="28"/>
          <w:lang w:val="en-US" w:eastAsia="zh-CN"/>
        </w:rPr>
        <w:t>1.师资</w:t>
      </w:r>
      <w:r>
        <w:rPr>
          <w:rFonts w:hint="eastAsia" w:ascii="黑体" w:hAnsi="黑体" w:eastAsia="黑体"/>
          <w:color w:val="auto"/>
          <w:sz w:val="28"/>
        </w:rPr>
        <w:t>数量和结构</w:t>
      </w:r>
      <w:bookmarkEnd w:id="43"/>
      <w:bookmarkEnd w:id="44"/>
      <w:bookmarkEnd w:id="45"/>
      <w:bookmarkEnd w:id="46"/>
      <w:bookmarkEnd w:id="47"/>
      <w:bookmarkEnd w:id="48"/>
    </w:p>
    <w:p>
      <w:pPr>
        <w:spacing w:after="156" w:afterLines="50"/>
        <w:ind w:firstLine="480"/>
        <w:rPr>
          <w:rFonts w:ascii="宋体" w:hAnsi="宋体" w:cs="宋体"/>
          <w:color w:val="auto"/>
        </w:rPr>
      </w:pPr>
      <w:r>
        <w:rPr>
          <w:rFonts w:hint="eastAsia" w:ascii="宋体" w:hAnsi="宋体" w:cs="宋体"/>
          <w:color w:val="auto"/>
        </w:rPr>
        <w:t>学校现有教职工2</w:t>
      </w:r>
      <w:r>
        <w:rPr>
          <w:rFonts w:hint="eastAsia" w:ascii="宋体" w:hAnsi="宋体" w:cs="宋体"/>
          <w:color w:val="auto"/>
          <w:lang w:val="en-US" w:eastAsia="zh-CN"/>
        </w:rPr>
        <w:t>710</w:t>
      </w:r>
      <w:r>
        <w:rPr>
          <w:rFonts w:hint="eastAsia" w:ascii="宋体" w:hAnsi="宋体" w:cs="宋体"/>
          <w:color w:val="auto"/>
        </w:rPr>
        <w:t>人</w:t>
      </w:r>
      <w:r>
        <w:rPr>
          <w:rFonts w:hint="eastAsia" w:ascii="宋体" w:hAnsi="宋体" w:cs="宋体"/>
          <w:color w:val="auto"/>
          <w:lang w:eastAsia="zh-CN"/>
        </w:rPr>
        <w:t>，</w:t>
      </w:r>
      <w:r>
        <w:rPr>
          <w:rFonts w:hint="eastAsia" w:ascii="宋体" w:hAnsi="宋体" w:cs="宋体"/>
          <w:color w:val="auto"/>
        </w:rPr>
        <w:t>其中，专任教师1</w:t>
      </w:r>
      <w:r>
        <w:rPr>
          <w:rFonts w:hint="eastAsia" w:ascii="宋体" w:hAnsi="宋体" w:cs="宋体"/>
          <w:color w:val="auto"/>
          <w:lang w:val="en-US" w:eastAsia="zh-CN"/>
        </w:rPr>
        <w:t>7</w:t>
      </w:r>
      <w:r>
        <w:rPr>
          <w:rFonts w:hint="eastAsia" w:ascii="宋体" w:hAnsi="宋体" w:cs="宋体"/>
          <w:color w:val="auto"/>
        </w:rPr>
        <w:t>10人</w:t>
      </w:r>
      <w:r>
        <w:rPr>
          <w:rFonts w:hint="eastAsia" w:ascii="宋体" w:hAnsi="宋体" w:cs="宋体"/>
          <w:color w:val="auto"/>
          <w:lang w:eastAsia="zh-CN"/>
        </w:rPr>
        <w:t>。</w:t>
      </w:r>
      <w:r>
        <w:rPr>
          <w:rFonts w:hint="eastAsia" w:ascii="宋体" w:hAnsi="宋体" w:eastAsia="宋体"/>
          <w:color w:val="auto"/>
          <w:sz w:val="24"/>
          <w:szCs w:val="24"/>
        </w:rPr>
        <w:t>外聘教师</w:t>
      </w:r>
      <w:r>
        <w:rPr>
          <w:rFonts w:hint="eastAsia" w:ascii="宋体" w:hAnsi="宋体" w:eastAsia="宋体"/>
          <w:color w:val="auto"/>
          <w:sz w:val="24"/>
          <w:szCs w:val="24"/>
          <w:u w:val="none"/>
          <w:lang w:val="en-US" w:eastAsia="zh-CN"/>
        </w:rPr>
        <w:t>493</w:t>
      </w:r>
      <w:r>
        <w:rPr>
          <w:rFonts w:hint="eastAsia" w:ascii="宋体" w:hAnsi="宋体" w:eastAsia="宋体"/>
          <w:color w:val="auto"/>
          <w:sz w:val="24"/>
          <w:szCs w:val="24"/>
        </w:rPr>
        <w:t>人，折合教师总数</w:t>
      </w:r>
      <w:r>
        <w:rPr>
          <w:rFonts w:hint="eastAsia" w:ascii="宋体" w:hAnsi="宋体" w:eastAsia="宋体"/>
          <w:color w:val="auto"/>
          <w:sz w:val="24"/>
          <w:szCs w:val="24"/>
          <w:u w:val="none"/>
        </w:rPr>
        <w:t>为</w:t>
      </w:r>
      <w:r>
        <w:rPr>
          <w:rFonts w:hint="eastAsia" w:ascii="宋体" w:hAnsi="宋体" w:eastAsia="宋体"/>
          <w:color w:val="auto"/>
          <w:sz w:val="24"/>
          <w:szCs w:val="24"/>
          <w:u w:val="none"/>
          <w:lang w:val="en-US" w:eastAsia="zh-CN"/>
        </w:rPr>
        <w:t>2073.5</w:t>
      </w:r>
      <w:r>
        <w:rPr>
          <w:rFonts w:hint="eastAsia" w:ascii="宋体" w:hAnsi="宋体" w:eastAsia="宋体"/>
          <w:color w:val="auto"/>
          <w:sz w:val="24"/>
          <w:szCs w:val="24"/>
          <w:u w:val="none"/>
        </w:rPr>
        <w:t>人</w:t>
      </w:r>
      <w:r>
        <w:rPr>
          <w:rFonts w:hint="eastAsia" w:ascii="宋体" w:hAnsi="宋体" w:cs="宋体"/>
          <w:color w:val="auto"/>
        </w:rPr>
        <w:t>，折合生师比为17.6</w:t>
      </w:r>
      <w:r>
        <w:rPr>
          <w:rFonts w:hint="eastAsia" w:ascii="宋体" w:hAnsi="宋体" w:cs="宋体"/>
          <w:color w:val="auto"/>
          <w:lang w:val="en-US" w:eastAsia="zh-CN"/>
        </w:rPr>
        <w:t>5</w:t>
      </w:r>
      <w:r>
        <w:rPr>
          <w:rFonts w:hint="eastAsia" w:ascii="宋体" w:hAnsi="宋体" w:cs="宋体"/>
          <w:color w:val="auto"/>
        </w:rPr>
        <w:t>。</w:t>
      </w:r>
    </w:p>
    <w:p>
      <w:pPr>
        <w:spacing w:after="156" w:afterLines="50"/>
        <w:ind w:firstLine="480"/>
        <w:rPr>
          <w:rFonts w:hint="default" w:ascii="宋体" w:hAnsi="宋体" w:cs="宋体"/>
          <w:color w:val="auto"/>
          <w:lang w:val="en-US" w:eastAsia="zh-CN"/>
        </w:rPr>
      </w:pPr>
      <w:r>
        <w:rPr>
          <w:rFonts w:hint="eastAsia" w:ascii="宋体" w:hAnsi="宋体" w:cs="宋体"/>
          <w:color w:val="auto"/>
        </w:rPr>
        <w:t>学校专任教师结构合理。具有高级职称专任教师</w:t>
      </w:r>
      <w:r>
        <w:rPr>
          <w:rFonts w:hint="eastAsia" w:ascii="宋体" w:hAnsi="宋体" w:cs="宋体"/>
          <w:color w:val="auto"/>
          <w:lang w:val="en-US" w:eastAsia="zh-CN"/>
        </w:rPr>
        <w:t>983</w:t>
      </w:r>
      <w:r>
        <w:rPr>
          <w:rFonts w:hint="eastAsia" w:ascii="宋体" w:hAnsi="宋体" w:cs="宋体"/>
          <w:color w:val="auto"/>
        </w:rPr>
        <w:t>人，占专任教师总数的</w:t>
      </w:r>
      <w:r>
        <w:rPr>
          <w:rFonts w:hint="eastAsia" w:ascii="宋体" w:hAnsi="宋体" w:cs="宋体"/>
          <w:color w:val="auto"/>
          <w:lang w:val="en-US" w:eastAsia="zh-CN"/>
        </w:rPr>
        <w:t>57.5%</w:t>
      </w:r>
      <w:r>
        <w:rPr>
          <w:rFonts w:hint="eastAsia" w:ascii="宋体" w:hAnsi="宋体" w:cs="宋体"/>
          <w:color w:val="auto"/>
        </w:rPr>
        <w:t>；其中具有正高级职称教师3</w:t>
      </w:r>
      <w:r>
        <w:rPr>
          <w:rFonts w:hint="eastAsia" w:ascii="宋体" w:hAnsi="宋体" w:cs="宋体"/>
          <w:color w:val="auto"/>
          <w:lang w:val="en-US" w:eastAsia="zh-CN"/>
        </w:rPr>
        <w:t>42</w:t>
      </w:r>
      <w:r>
        <w:rPr>
          <w:rFonts w:hint="eastAsia" w:ascii="宋体" w:hAnsi="宋体" w:cs="宋体"/>
          <w:color w:val="auto"/>
        </w:rPr>
        <w:t>人，占专任教师总数的20%。研究生学历及以上教师占专任教师总数的9</w:t>
      </w:r>
      <w:r>
        <w:rPr>
          <w:rFonts w:hint="eastAsia" w:ascii="宋体" w:hAnsi="宋体" w:cs="宋体"/>
          <w:color w:val="auto"/>
          <w:lang w:val="en-US" w:eastAsia="zh-CN"/>
        </w:rPr>
        <w:t>6.14</w:t>
      </w:r>
      <w:r>
        <w:rPr>
          <w:rFonts w:hint="eastAsia" w:ascii="宋体" w:hAnsi="宋体" w:cs="宋体"/>
          <w:color w:val="auto"/>
        </w:rPr>
        <w:t xml:space="preserve"> %；其中具有博士学位教师1</w:t>
      </w:r>
      <w:r>
        <w:rPr>
          <w:rFonts w:hint="eastAsia" w:ascii="宋体" w:hAnsi="宋体" w:cs="宋体"/>
          <w:color w:val="auto"/>
          <w:lang w:val="en-US" w:eastAsia="zh-CN"/>
        </w:rPr>
        <w:t>334</w:t>
      </w:r>
      <w:r>
        <w:rPr>
          <w:rFonts w:hint="eastAsia" w:ascii="宋体" w:hAnsi="宋体" w:cs="宋体"/>
          <w:color w:val="auto"/>
        </w:rPr>
        <w:t>人，占专任教师总数的</w:t>
      </w:r>
      <w:r>
        <w:rPr>
          <w:rFonts w:hint="eastAsia" w:ascii="宋体" w:hAnsi="宋体" w:cs="宋体"/>
          <w:color w:val="auto"/>
          <w:lang w:val="en-US" w:eastAsia="zh-CN"/>
        </w:rPr>
        <w:t>78.01</w:t>
      </w:r>
      <w:r>
        <w:rPr>
          <w:rFonts w:hint="eastAsia" w:ascii="宋体" w:hAnsi="宋体" w:cs="宋体"/>
          <w:color w:val="auto"/>
        </w:rPr>
        <w:t>%。具有博士学位的教师比例逐年增长，具有正高级职称的教师比例保持稳定。</w:t>
      </w:r>
      <w:r>
        <w:rPr>
          <w:rFonts w:hint="eastAsia" w:ascii="宋体" w:hAnsi="宋体" w:cs="宋体"/>
          <w:color w:val="auto"/>
          <w:lang w:val="en-US" w:eastAsia="zh-CN"/>
        </w:rPr>
        <w:t>35岁以下青年教师比例较去年增加2个百分点。专任教师学位情况见图2。</w:t>
      </w:r>
    </w:p>
    <w:p>
      <w:pPr>
        <w:spacing w:after="156" w:afterLines="50"/>
        <w:ind w:firstLine="480"/>
        <w:rPr>
          <w:rFonts w:hint="default" w:ascii="宋体" w:hAnsi="宋体" w:cs="宋体"/>
          <w:color w:val="auto"/>
          <w:lang w:val="en-US" w:eastAsia="zh-CN"/>
        </w:rPr>
      </w:pPr>
      <w:r>
        <w:rPr>
          <w:rFonts w:hint="eastAsia" w:ascii="宋体" w:hAnsi="宋体" w:cs="宋体"/>
          <w:color w:val="auto"/>
          <w:lang w:val="en-US" w:eastAsia="zh-CN"/>
        </w:rPr>
        <w:t>2022-2023学年，</w:t>
      </w:r>
      <w:r>
        <w:rPr>
          <w:rFonts w:hint="default" w:ascii="宋体" w:hAnsi="宋体" w:cs="宋体"/>
          <w:color w:val="auto"/>
          <w:lang w:val="en-US" w:eastAsia="zh-CN"/>
        </w:rPr>
        <w:t>承担本科教学的</w:t>
      </w:r>
      <w:r>
        <w:rPr>
          <w:rFonts w:hint="eastAsia" w:ascii="宋体" w:hAnsi="宋体" w:cs="宋体"/>
          <w:color w:val="auto"/>
          <w:lang w:val="en-US" w:eastAsia="zh-CN"/>
        </w:rPr>
        <w:t>教授</w:t>
      </w:r>
      <w:r>
        <w:rPr>
          <w:rFonts w:hint="default" w:ascii="宋体" w:hAnsi="宋体" w:cs="宋体"/>
          <w:color w:val="auto"/>
          <w:lang w:val="en-US" w:eastAsia="zh-CN"/>
        </w:rPr>
        <w:t>有340人，高级职称教师承担的课程门数为2105，占总课程门数的65.11%。</w:t>
      </w:r>
    </w:p>
    <w:p>
      <w:pPr>
        <w:spacing w:after="156" w:afterLines="50"/>
        <w:ind w:firstLine="480"/>
        <w:rPr>
          <w:rFonts w:hint="eastAsia" w:ascii="宋体" w:hAnsi="宋体" w:cs="宋体"/>
          <w:color w:val="auto"/>
        </w:rPr>
      </w:pPr>
    </w:p>
    <w:p>
      <w:pPr>
        <w:spacing w:after="156" w:afterLines="50"/>
        <w:ind w:firstLine="480"/>
        <w:rPr>
          <w:rFonts w:hint="eastAsia" w:ascii="宋体" w:hAnsi="宋体" w:cs="宋体"/>
          <w:color w:val="auto"/>
        </w:rPr>
      </w:pPr>
    </w:p>
    <w:p>
      <w:pPr>
        <w:bidi w:val="0"/>
        <w:ind w:left="0" w:leftChars="0" w:firstLine="0" w:firstLineChars="0"/>
        <w:jc w:val="both"/>
        <w:rPr>
          <w:rFonts w:hint="eastAsia"/>
          <w:color w:val="auto"/>
          <w:lang w:eastAsia="zh-CN"/>
        </w:rPr>
      </w:pPr>
      <w:bookmarkStart w:id="49" w:name="_Toc26694"/>
      <w:bookmarkStart w:id="50" w:name="_Toc23954"/>
      <w:bookmarkStart w:id="51" w:name="_Toc88219326"/>
      <w:bookmarkStart w:id="52" w:name="_Toc26847"/>
      <w:bookmarkStart w:id="53" w:name="_Toc89702794"/>
      <w:bookmarkStart w:id="54" w:name="_Toc88218415"/>
    </w:p>
    <w:p>
      <w:pPr>
        <w:bidi w:val="0"/>
        <w:jc w:val="center"/>
        <w:rPr>
          <w:rFonts w:hint="eastAsia" w:ascii="宋体" w:hAnsi="宋体" w:eastAsia="宋体" w:cs="宋体"/>
          <w:color w:val="auto"/>
          <w:kern w:val="2"/>
          <w:sz w:val="21"/>
          <w:szCs w:val="21"/>
          <w:lang w:val="en-US" w:eastAsia="zh-CN" w:bidi="ar-SA"/>
        </w:rPr>
      </w:pPr>
      <w:r>
        <w:rPr>
          <w:rFonts w:hint="eastAsia"/>
          <w:color w:val="auto"/>
          <w:lang w:eastAsia="zh-CN"/>
        </w:rPr>
        <w:drawing>
          <wp:anchor distT="0" distB="0" distL="114300" distR="114300" simplePos="0" relativeHeight="251659264" behindDoc="0" locked="0" layoutInCell="1" allowOverlap="1">
            <wp:simplePos x="0" y="0"/>
            <wp:positionH relativeFrom="column">
              <wp:posOffset>118745</wp:posOffset>
            </wp:positionH>
            <wp:positionV relativeFrom="paragraph">
              <wp:posOffset>13970</wp:posOffset>
            </wp:positionV>
            <wp:extent cx="5012690" cy="3020060"/>
            <wp:effectExtent l="4445" t="4445" r="12065" b="23495"/>
            <wp:wrapSquare wrapText="bothSides"/>
            <wp:docPr id="9" name="图表 9" descr="{{近两学年专任教师学位情况}}"/>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bookmarkEnd w:id="49"/>
      <w:r>
        <w:rPr>
          <w:rFonts w:hint="eastAsia" w:ascii="宋体" w:hAnsi="宋体" w:eastAsia="宋体" w:cs="宋体"/>
          <w:color w:val="auto"/>
          <w:kern w:val="2"/>
          <w:sz w:val="21"/>
          <w:szCs w:val="21"/>
          <w:lang w:val="en-US" w:eastAsia="zh-CN" w:bidi="ar-SA"/>
        </w:rPr>
        <w:t>图2  近两学年专任教师学位情况（%）</w:t>
      </w:r>
    </w:p>
    <w:p>
      <w:pPr>
        <w:pStyle w:val="3"/>
        <w:spacing w:before="156" w:after="156"/>
        <w:rPr>
          <w:rFonts w:hint="eastAsia" w:ascii="黑体" w:hAnsi="黑体" w:eastAsia="黑体"/>
          <w:color w:val="auto"/>
          <w:sz w:val="28"/>
        </w:rPr>
      </w:pPr>
      <w:bookmarkStart w:id="55" w:name="_Toc2859"/>
      <w:r>
        <w:rPr>
          <w:rFonts w:hint="eastAsia" w:ascii="黑体" w:hAnsi="黑体" w:eastAsia="黑体"/>
          <w:color w:val="auto"/>
          <w:sz w:val="28"/>
        </w:rPr>
        <w:t>2.高层次人才队伍</w:t>
      </w:r>
      <w:bookmarkEnd w:id="50"/>
      <w:bookmarkEnd w:id="51"/>
      <w:bookmarkEnd w:id="52"/>
      <w:bookmarkEnd w:id="53"/>
      <w:bookmarkEnd w:id="54"/>
      <w:bookmarkEnd w:id="55"/>
    </w:p>
    <w:p>
      <w:pPr>
        <w:jc w:val="left"/>
        <w:rPr>
          <w:rFonts w:hint="eastAsia" w:ascii="宋体" w:hAnsi="宋体" w:eastAsia="宋体"/>
          <w:color w:val="auto"/>
          <w:sz w:val="24"/>
          <w:szCs w:val="24"/>
          <w:u w:val="none"/>
        </w:rPr>
      </w:pPr>
      <w:r>
        <w:rPr>
          <w:rFonts w:hint="eastAsia" w:ascii="宋体" w:hAnsi="宋体" w:eastAsia="宋体"/>
          <w:color w:val="auto"/>
          <w:sz w:val="24"/>
          <w:szCs w:val="24"/>
          <w:u w:val="none"/>
        </w:rPr>
        <w:t>学校目前有中国科学院院士</w:t>
      </w:r>
      <w:r>
        <w:rPr>
          <w:rFonts w:hint="eastAsia" w:ascii="宋体" w:hAnsi="宋体" w:eastAsia="宋体"/>
          <w:color w:val="auto"/>
          <w:sz w:val="24"/>
          <w:szCs w:val="24"/>
          <w:u w:val="none"/>
          <w:lang w:val="en-US" w:eastAsia="zh-CN"/>
        </w:rPr>
        <w:t>1</w:t>
      </w:r>
      <w:r>
        <w:rPr>
          <w:rFonts w:hint="eastAsia" w:ascii="宋体" w:hAnsi="宋体" w:eastAsia="宋体"/>
          <w:color w:val="auto"/>
          <w:sz w:val="24"/>
          <w:szCs w:val="24"/>
          <w:u w:val="none"/>
        </w:rPr>
        <w:t>人</w:t>
      </w:r>
      <w:r>
        <w:rPr>
          <w:rFonts w:hint="eastAsia" w:ascii="宋体" w:hAnsi="宋体"/>
          <w:color w:val="auto"/>
          <w:sz w:val="24"/>
          <w:szCs w:val="24"/>
          <w:u w:val="none"/>
          <w:lang w:eastAsia="zh-CN"/>
        </w:rPr>
        <w:t>；</w:t>
      </w:r>
      <w:r>
        <w:rPr>
          <w:rFonts w:hint="eastAsia" w:ascii="宋体" w:hAnsi="宋体" w:eastAsia="宋体"/>
          <w:color w:val="auto"/>
          <w:sz w:val="24"/>
          <w:szCs w:val="24"/>
          <w:u w:val="none"/>
        </w:rPr>
        <w:t>国家杰出青年科学基金资助者</w:t>
      </w:r>
      <w:r>
        <w:rPr>
          <w:rFonts w:hint="eastAsia" w:ascii="宋体" w:hAnsi="宋体" w:eastAsia="宋体"/>
          <w:color w:val="auto"/>
          <w:sz w:val="24"/>
          <w:szCs w:val="24"/>
          <w:u w:val="none"/>
          <w:lang w:val="en-US" w:eastAsia="zh-CN"/>
        </w:rPr>
        <w:t>6</w:t>
      </w:r>
      <w:r>
        <w:rPr>
          <w:rFonts w:hint="eastAsia" w:ascii="宋体" w:hAnsi="宋体" w:eastAsia="宋体"/>
          <w:color w:val="auto"/>
          <w:sz w:val="24"/>
          <w:szCs w:val="24"/>
          <w:u w:val="none"/>
        </w:rPr>
        <w:t>人</w:t>
      </w:r>
      <w:r>
        <w:rPr>
          <w:rFonts w:hint="eastAsia" w:ascii="宋体" w:hAnsi="宋体"/>
          <w:color w:val="auto"/>
          <w:sz w:val="24"/>
          <w:szCs w:val="24"/>
          <w:u w:val="none"/>
          <w:lang w:eastAsia="zh-CN"/>
        </w:rPr>
        <w:t>；</w:t>
      </w:r>
      <w:r>
        <w:rPr>
          <w:rFonts w:hint="eastAsia" w:ascii="宋体" w:hAnsi="宋体" w:eastAsia="宋体"/>
          <w:color w:val="auto"/>
          <w:sz w:val="24"/>
          <w:szCs w:val="24"/>
          <w:u w:val="none"/>
        </w:rPr>
        <w:t>国家优秀青年科学基金资助者</w:t>
      </w:r>
      <w:r>
        <w:rPr>
          <w:rFonts w:hint="eastAsia" w:ascii="宋体" w:hAnsi="宋体" w:eastAsia="宋体"/>
          <w:color w:val="auto"/>
          <w:sz w:val="24"/>
          <w:szCs w:val="24"/>
          <w:u w:val="none"/>
          <w:lang w:val="en-US" w:eastAsia="zh-CN"/>
        </w:rPr>
        <w:t>3</w:t>
      </w:r>
      <w:r>
        <w:rPr>
          <w:rFonts w:hint="eastAsia" w:ascii="宋体" w:hAnsi="宋体" w:eastAsia="宋体"/>
          <w:color w:val="auto"/>
          <w:sz w:val="24"/>
          <w:szCs w:val="24"/>
          <w:u w:val="none"/>
        </w:rPr>
        <w:t>人，其中</w:t>
      </w:r>
      <w:r>
        <w:rPr>
          <w:rFonts w:hint="eastAsia" w:ascii="宋体" w:hAnsi="宋体" w:eastAsia="宋体"/>
          <w:color w:val="auto"/>
          <w:sz w:val="24"/>
          <w:szCs w:val="24"/>
          <w:u w:val="none"/>
          <w:lang w:val="en-US" w:eastAsia="zh-CN"/>
        </w:rPr>
        <w:t>2022</w:t>
      </w:r>
      <w:r>
        <w:rPr>
          <w:rFonts w:hint="eastAsia" w:ascii="宋体" w:hAnsi="宋体" w:eastAsia="宋体"/>
          <w:color w:val="auto"/>
          <w:sz w:val="24"/>
          <w:szCs w:val="24"/>
          <w:u w:val="none"/>
        </w:rPr>
        <w:t>年当选</w:t>
      </w:r>
      <w:r>
        <w:rPr>
          <w:rFonts w:hint="eastAsia" w:ascii="宋体" w:hAnsi="宋体" w:eastAsia="宋体"/>
          <w:color w:val="auto"/>
          <w:sz w:val="24"/>
          <w:szCs w:val="24"/>
          <w:u w:val="none"/>
          <w:lang w:val="en-US" w:eastAsia="zh-CN"/>
        </w:rPr>
        <w:t>1</w:t>
      </w:r>
      <w:r>
        <w:rPr>
          <w:rFonts w:hint="eastAsia" w:ascii="宋体" w:hAnsi="宋体" w:eastAsia="宋体"/>
          <w:color w:val="auto"/>
          <w:sz w:val="24"/>
          <w:szCs w:val="24"/>
          <w:u w:val="none"/>
        </w:rPr>
        <w:t>人；</w:t>
      </w:r>
      <w:r>
        <w:rPr>
          <w:rFonts w:hint="eastAsia" w:ascii="宋体" w:hAnsi="宋体"/>
          <w:color w:val="auto"/>
          <w:sz w:val="24"/>
          <w:szCs w:val="24"/>
          <w:u w:val="none"/>
          <w:lang w:val="en-US" w:eastAsia="zh-CN"/>
        </w:rPr>
        <w:t>2023年新增</w:t>
      </w:r>
      <w:r>
        <w:rPr>
          <w:rFonts w:hint="eastAsia" w:ascii="宋体" w:hAnsi="宋体" w:eastAsia="宋体"/>
          <w:color w:val="auto"/>
          <w:sz w:val="24"/>
          <w:szCs w:val="24"/>
          <w:u w:val="none"/>
        </w:rPr>
        <w:t>国家高层次人才特殊支持计划科技创新领军人</w:t>
      </w:r>
      <w:r>
        <w:rPr>
          <w:rFonts w:hint="eastAsia" w:ascii="宋体" w:hAnsi="宋体" w:eastAsia="宋体"/>
          <w:color w:val="auto"/>
          <w:sz w:val="24"/>
          <w:szCs w:val="24"/>
          <w:u w:val="none"/>
          <w:lang w:val="en-US" w:eastAsia="zh-CN"/>
        </w:rPr>
        <w:t>1人；</w:t>
      </w:r>
      <w:r>
        <w:rPr>
          <w:rFonts w:hint="eastAsia" w:ascii="宋体" w:hAnsi="宋体" w:eastAsia="宋体"/>
          <w:color w:val="auto"/>
          <w:sz w:val="24"/>
          <w:szCs w:val="24"/>
          <w:u w:val="none"/>
        </w:rPr>
        <w:t>新世纪优秀人才</w:t>
      </w:r>
      <w:r>
        <w:rPr>
          <w:rFonts w:hint="eastAsia" w:ascii="宋体" w:hAnsi="宋体" w:eastAsia="宋体"/>
          <w:color w:val="auto"/>
          <w:sz w:val="24"/>
          <w:szCs w:val="24"/>
          <w:u w:val="none"/>
          <w:lang w:val="en-US" w:eastAsia="zh-CN"/>
        </w:rPr>
        <w:t>13</w:t>
      </w:r>
      <w:r>
        <w:rPr>
          <w:rFonts w:hint="eastAsia" w:ascii="宋体" w:hAnsi="宋体" w:eastAsia="宋体"/>
          <w:color w:val="auto"/>
          <w:sz w:val="24"/>
          <w:szCs w:val="24"/>
          <w:u w:val="none"/>
        </w:rPr>
        <w:t>人；百千万人才工程入选者</w:t>
      </w:r>
      <w:r>
        <w:rPr>
          <w:rFonts w:hint="eastAsia" w:ascii="宋体" w:hAnsi="宋体" w:eastAsia="宋体"/>
          <w:color w:val="auto"/>
          <w:sz w:val="24"/>
          <w:szCs w:val="24"/>
          <w:u w:val="none"/>
          <w:lang w:val="en-US" w:eastAsia="zh-CN"/>
        </w:rPr>
        <w:t>6</w:t>
      </w:r>
      <w:r>
        <w:rPr>
          <w:rFonts w:hint="eastAsia" w:ascii="宋体" w:hAnsi="宋体" w:eastAsia="宋体"/>
          <w:color w:val="auto"/>
          <w:sz w:val="24"/>
          <w:szCs w:val="24"/>
          <w:u w:val="none"/>
        </w:rPr>
        <w:t>人；近一届教育部教指委委员</w:t>
      </w:r>
      <w:r>
        <w:rPr>
          <w:rFonts w:hint="eastAsia" w:ascii="宋体" w:hAnsi="宋体"/>
          <w:color w:val="auto"/>
          <w:sz w:val="24"/>
          <w:szCs w:val="24"/>
          <w:u w:val="none"/>
          <w:lang w:val="en-US" w:eastAsia="zh-CN"/>
        </w:rPr>
        <w:t>4</w:t>
      </w:r>
      <w:r>
        <w:rPr>
          <w:rFonts w:hint="eastAsia" w:ascii="宋体" w:hAnsi="宋体" w:eastAsia="宋体"/>
          <w:color w:val="auto"/>
          <w:sz w:val="24"/>
          <w:szCs w:val="24"/>
          <w:u w:val="none"/>
        </w:rPr>
        <w:t>人，省级高层次人才</w:t>
      </w:r>
      <w:r>
        <w:rPr>
          <w:rFonts w:hint="eastAsia" w:ascii="宋体" w:hAnsi="宋体" w:eastAsia="宋体"/>
          <w:color w:val="auto"/>
          <w:sz w:val="24"/>
          <w:szCs w:val="24"/>
          <w:u w:val="none"/>
          <w:lang w:val="en-US" w:eastAsia="zh-CN"/>
        </w:rPr>
        <w:t>56</w:t>
      </w:r>
      <w:r>
        <w:rPr>
          <w:rFonts w:hint="eastAsia" w:ascii="宋体" w:hAnsi="宋体" w:eastAsia="宋体"/>
          <w:color w:val="auto"/>
          <w:sz w:val="24"/>
          <w:szCs w:val="24"/>
          <w:u w:val="none"/>
        </w:rPr>
        <w:t>人，其中</w:t>
      </w:r>
      <w:r>
        <w:rPr>
          <w:rFonts w:hint="eastAsia" w:ascii="宋体" w:hAnsi="宋体" w:eastAsia="宋体"/>
          <w:color w:val="auto"/>
          <w:sz w:val="24"/>
          <w:szCs w:val="24"/>
          <w:u w:val="none"/>
          <w:lang w:val="en-US" w:eastAsia="zh-CN"/>
        </w:rPr>
        <w:t>2022</w:t>
      </w:r>
      <w:r>
        <w:rPr>
          <w:rFonts w:hint="eastAsia" w:ascii="宋体" w:hAnsi="宋体" w:eastAsia="宋体"/>
          <w:color w:val="auto"/>
          <w:sz w:val="24"/>
          <w:szCs w:val="24"/>
          <w:u w:val="none"/>
        </w:rPr>
        <w:t>年当选</w:t>
      </w:r>
      <w:r>
        <w:rPr>
          <w:rFonts w:hint="eastAsia" w:ascii="宋体" w:hAnsi="宋体" w:eastAsia="宋体"/>
          <w:color w:val="auto"/>
          <w:sz w:val="24"/>
          <w:szCs w:val="24"/>
          <w:u w:val="none"/>
          <w:lang w:val="en-US" w:eastAsia="zh-CN"/>
        </w:rPr>
        <w:t>1</w:t>
      </w:r>
      <w:r>
        <w:rPr>
          <w:rFonts w:hint="eastAsia" w:ascii="宋体" w:hAnsi="宋体" w:eastAsia="宋体"/>
          <w:color w:val="auto"/>
          <w:sz w:val="24"/>
          <w:szCs w:val="24"/>
          <w:u w:val="none"/>
        </w:rPr>
        <w:t>人；省部级突出贡献专家</w:t>
      </w:r>
      <w:r>
        <w:rPr>
          <w:rFonts w:hint="eastAsia" w:ascii="宋体" w:hAnsi="宋体" w:eastAsia="宋体"/>
          <w:color w:val="auto"/>
          <w:sz w:val="24"/>
          <w:szCs w:val="24"/>
          <w:u w:val="none"/>
          <w:lang w:val="en-US" w:eastAsia="zh-CN"/>
        </w:rPr>
        <w:t>6</w:t>
      </w:r>
      <w:r>
        <w:rPr>
          <w:rFonts w:hint="eastAsia" w:ascii="宋体" w:hAnsi="宋体" w:eastAsia="宋体"/>
          <w:color w:val="auto"/>
          <w:sz w:val="24"/>
          <w:szCs w:val="24"/>
          <w:u w:val="none"/>
        </w:rPr>
        <w:t>人；省级教学名师</w:t>
      </w:r>
      <w:r>
        <w:rPr>
          <w:rFonts w:hint="eastAsia" w:ascii="宋体" w:hAnsi="宋体" w:eastAsia="宋体"/>
          <w:color w:val="auto"/>
          <w:sz w:val="24"/>
          <w:szCs w:val="24"/>
          <w:u w:val="none"/>
          <w:lang w:val="en-US" w:eastAsia="zh-CN"/>
        </w:rPr>
        <w:t>3</w:t>
      </w:r>
      <w:r>
        <w:rPr>
          <w:rFonts w:hint="eastAsia" w:ascii="宋体" w:hAnsi="宋体" w:eastAsia="宋体"/>
          <w:color w:val="auto"/>
          <w:sz w:val="24"/>
          <w:szCs w:val="24"/>
          <w:u w:val="none"/>
        </w:rPr>
        <w:t>人，其中</w:t>
      </w:r>
      <w:r>
        <w:rPr>
          <w:rFonts w:hint="eastAsia" w:ascii="宋体" w:hAnsi="宋体" w:eastAsia="宋体"/>
          <w:color w:val="auto"/>
          <w:sz w:val="24"/>
          <w:szCs w:val="24"/>
          <w:u w:val="none"/>
          <w:lang w:val="en-US" w:eastAsia="zh-CN"/>
        </w:rPr>
        <w:t>2022</w:t>
      </w:r>
      <w:r>
        <w:rPr>
          <w:rFonts w:hint="eastAsia" w:ascii="宋体" w:hAnsi="宋体" w:eastAsia="宋体"/>
          <w:color w:val="auto"/>
          <w:sz w:val="24"/>
          <w:szCs w:val="24"/>
          <w:u w:val="none"/>
        </w:rPr>
        <w:t>年当选</w:t>
      </w:r>
      <w:r>
        <w:rPr>
          <w:rFonts w:hint="eastAsia" w:ascii="宋体" w:hAnsi="宋体" w:eastAsia="宋体"/>
          <w:color w:val="auto"/>
          <w:sz w:val="24"/>
          <w:szCs w:val="24"/>
          <w:u w:val="none"/>
          <w:lang w:val="en-US" w:eastAsia="zh-CN"/>
        </w:rPr>
        <w:t>1</w:t>
      </w:r>
      <w:r>
        <w:rPr>
          <w:rFonts w:hint="eastAsia" w:ascii="宋体" w:hAnsi="宋体" w:eastAsia="宋体"/>
          <w:color w:val="auto"/>
          <w:sz w:val="24"/>
          <w:szCs w:val="24"/>
          <w:u w:val="none"/>
        </w:rPr>
        <w:t>人。</w:t>
      </w:r>
      <w:r>
        <w:rPr>
          <w:rFonts w:hint="eastAsia" w:ascii="宋体" w:hAnsi="宋体"/>
          <w:color w:val="auto"/>
          <w:sz w:val="24"/>
          <w:szCs w:val="24"/>
          <w:u w:val="none"/>
          <w:lang w:val="en-US" w:eastAsia="zh-CN"/>
        </w:rPr>
        <w:t>有黄大年式式教师团队1个，教育部创新团队1个，省级高层次研究团队6个。学校</w:t>
      </w:r>
      <w:r>
        <w:rPr>
          <w:rFonts w:hint="eastAsia" w:ascii="宋体" w:hAnsi="宋体" w:eastAsia="宋体"/>
          <w:color w:val="auto"/>
          <w:sz w:val="24"/>
          <w:szCs w:val="24"/>
          <w:u w:val="none"/>
          <w:lang w:val="en-US" w:eastAsia="zh-CN"/>
        </w:rPr>
        <w:t>高层次人才情况见表2</w:t>
      </w:r>
      <w:r>
        <w:rPr>
          <w:rFonts w:hint="eastAsia" w:ascii="宋体" w:hAnsi="宋体"/>
          <w:color w:val="auto"/>
          <w:sz w:val="24"/>
          <w:szCs w:val="24"/>
          <w:u w:val="none"/>
          <w:lang w:val="en-US" w:eastAsia="zh-CN"/>
        </w:rPr>
        <w:t>。</w:t>
      </w:r>
    </w:p>
    <w:p>
      <w:pPr>
        <w:jc w:val="center"/>
        <w:rPr>
          <w:rFonts w:ascii="Calibri" w:hAnsi="Calibri" w:eastAsia="宋体" w:cs="Times New Roman"/>
          <w:color w:val="auto"/>
          <w:kern w:val="2"/>
          <w:sz w:val="24"/>
          <w:szCs w:val="22"/>
          <w:lang w:val="en-US" w:eastAsia="zh-CN" w:bidi="ar-SA"/>
        </w:rPr>
      </w:pPr>
      <w:bookmarkStart w:id="56" w:name="_Toc88218480"/>
      <w:r>
        <w:rPr>
          <w:rFonts w:hint="eastAsia" w:ascii="宋体" w:hAnsi="宋体" w:eastAsia="宋体"/>
          <w:color w:val="auto"/>
          <w:sz w:val="24"/>
          <w:szCs w:val="24"/>
          <w:u w:val="none"/>
          <w:lang w:val="en-US" w:eastAsia="zh-CN"/>
        </w:rPr>
        <w:t>表</w:t>
      </w:r>
      <w:r>
        <w:rPr>
          <w:rFonts w:hint="eastAsia" w:ascii="宋体" w:hAnsi="宋体" w:eastAsia="宋体"/>
          <w:color w:val="auto"/>
          <w:sz w:val="24"/>
          <w:szCs w:val="24"/>
          <w:u w:val="none"/>
          <w:lang w:val="en-US" w:eastAsia="zh-CN"/>
        </w:rPr>
        <w:fldChar w:fldCharType="begin"/>
      </w:r>
      <w:r>
        <w:rPr>
          <w:rFonts w:hint="eastAsia" w:ascii="宋体" w:hAnsi="宋体" w:eastAsia="宋体"/>
          <w:color w:val="auto"/>
          <w:sz w:val="24"/>
          <w:szCs w:val="24"/>
          <w:u w:val="none"/>
          <w:lang w:val="en-US" w:eastAsia="zh-CN"/>
        </w:rPr>
        <w:instrText xml:space="preserve">SEQ 表 \* ARABIC</w:instrText>
      </w:r>
      <w:r>
        <w:rPr>
          <w:rFonts w:hint="eastAsia" w:ascii="宋体" w:hAnsi="宋体" w:eastAsia="宋体"/>
          <w:color w:val="auto"/>
          <w:sz w:val="24"/>
          <w:szCs w:val="24"/>
          <w:u w:val="none"/>
          <w:lang w:val="en-US" w:eastAsia="zh-CN"/>
        </w:rPr>
        <w:fldChar w:fldCharType="separate"/>
      </w:r>
      <w:r>
        <w:rPr>
          <w:rFonts w:hint="eastAsia" w:ascii="宋体" w:hAnsi="宋体" w:eastAsia="宋体"/>
          <w:color w:val="auto"/>
          <w:sz w:val="24"/>
          <w:szCs w:val="24"/>
          <w:u w:val="none"/>
          <w:lang w:val="en-US" w:eastAsia="zh-CN"/>
        </w:rPr>
        <w:t>2</w:t>
      </w:r>
      <w:r>
        <w:rPr>
          <w:rFonts w:hint="eastAsia" w:ascii="宋体" w:hAnsi="宋体" w:eastAsia="宋体"/>
          <w:color w:val="auto"/>
          <w:sz w:val="24"/>
          <w:szCs w:val="24"/>
          <w:u w:val="none"/>
          <w:lang w:val="en-US" w:eastAsia="zh-CN"/>
        </w:rPr>
        <w:fldChar w:fldCharType="end"/>
      </w:r>
      <w:bookmarkStart w:id="57" w:name="_Toc21729"/>
      <w:r>
        <w:rPr>
          <w:rFonts w:hint="eastAsia" w:ascii="宋体" w:hAnsi="宋体" w:eastAsia="宋体"/>
          <w:color w:val="auto"/>
          <w:sz w:val="24"/>
          <w:szCs w:val="24"/>
          <w:u w:val="none"/>
          <w:lang w:val="en-US" w:eastAsia="zh-CN"/>
        </w:rPr>
        <w:t xml:space="preserve"> 学校国家级人才/教学荣誉获得情况统计表</w:t>
      </w:r>
      <w:bookmarkEnd w:id="56"/>
      <w:bookmarkEnd w:id="57"/>
    </w:p>
    <w:tbl>
      <w:tblPr>
        <w:tblStyle w:val="18"/>
        <w:tblW w:w="7933" w:type="dxa"/>
        <w:jc w:val="center"/>
        <w:tblLayout w:type="autofit"/>
        <w:tblCellMar>
          <w:top w:w="0" w:type="dxa"/>
          <w:left w:w="108" w:type="dxa"/>
          <w:bottom w:w="0" w:type="dxa"/>
          <w:right w:w="108" w:type="dxa"/>
        </w:tblCellMar>
      </w:tblPr>
      <w:tblGrid>
        <w:gridCol w:w="6091"/>
        <w:gridCol w:w="1842"/>
      </w:tblGrid>
      <w:tr>
        <w:tblPrEx>
          <w:tblCellMar>
            <w:top w:w="0" w:type="dxa"/>
            <w:left w:w="108" w:type="dxa"/>
            <w:bottom w:w="0" w:type="dxa"/>
            <w:right w:w="108" w:type="dxa"/>
          </w:tblCellMar>
        </w:tblPrEx>
        <w:trPr>
          <w:trHeight w:val="397" w:hRule="exact"/>
          <w:jc w:val="center"/>
        </w:trPr>
        <w:tc>
          <w:tcPr>
            <w:tcW w:w="60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中国科学院院士</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1</w:t>
            </w:r>
          </w:p>
        </w:tc>
      </w:tr>
      <w:tr>
        <w:tblPrEx>
          <w:tblCellMar>
            <w:top w:w="0" w:type="dxa"/>
            <w:left w:w="108" w:type="dxa"/>
            <w:bottom w:w="0" w:type="dxa"/>
            <w:right w:w="108" w:type="dxa"/>
          </w:tblCellMar>
        </w:tblPrEx>
        <w:trPr>
          <w:trHeight w:val="397" w:hRule="exact"/>
          <w:jc w:val="center"/>
        </w:trPr>
        <w:tc>
          <w:tcPr>
            <w:tcW w:w="6091"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兼职两院院士</w:t>
            </w:r>
          </w:p>
        </w:tc>
        <w:tc>
          <w:tcPr>
            <w:tcW w:w="184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1</w:t>
            </w:r>
          </w:p>
        </w:tc>
      </w:tr>
      <w:tr>
        <w:tblPrEx>
          <w:tblCellMar>
            <w:top w:w="0" w:type="dxa"/>
            <w:left w:w="108" w:type="dxa"/>
            <w:bottom w:w="0" w:type="dxa"/>
            <w:right w:w="108" w:type="dxa"/>
          </w:tblCellMar>
        </w:tblPrEx>
        <w:trPr>
          <w:trHeight w:val="397" w:hRule="exact"/>
          <w:jc w:val="center"/>
        </w:trPr>
        <w:tc>
          <w:tcPr>
            <w:tcW w:w="6091"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国家重大人才工程特聘教授</w:t>
            </w:r>
          </w:p>
        </w:tc>
        <w:tc>
          <w:tcPr>
            <w:tcW w:w="184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7</w:t>
            </w:r>
          </w:p>
        </w:tc>
      </w:tr>
      <w:tr>
        <w:tblPrEx>
          <w:tblCellMar>
            <w:top w:w="0" w:type="dxa"/>
            <w:left w:w="108" w:type="dxa"/>
            <w:bottom w:w="0" w:type="dxa"/>
            <w:right w:w="108" w:type="dxa"/>
          </w:tblCellMar>
        </w:tblPrEx>
        <w:trPr>
          <w:trHeight w:val="397" w:hRule="exact"/>
          <w:jc w:val="center"/>
        </w:trPr>
        <w:tc>
          <w:tcPr>
            <w:tcW w:w="6091"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国家重大人才工程讲座教授</w:t>
            </w:r>
          </w:p>
        </w:tc>
        <w:tc>
          <w:tcPr>
            <w:tcW w:w="184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1</w:t>
            </w:r>
          </w:p>
        </w:tc>
      </w:tr>
      <w:tr>
        <w:tblPrEx>
          <w:tblCellMar>
            <w:top w:w="0" w:type="dxa"/>
            <w:left w:w="108" w:type="dxa"/>
            <w:bottom w:w="0" w:type="dxa"/>
            <w:right w:w="108" w:type="dxa"/>
          </w:tblCellMar>
        </w:tblPrEx>
        <w:trPr>
          <w:trHeight w:val="397" w:hRule="exact"/>
          <w:jc w:val="center"/>
        </w:trPr>
        <w:tc>
          <w:tcPr>
            <w:tcW w:w="6091"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国家重大人才工程青年学者</w:t>
            </w:r>
          </w:p>
        </w:tc>
        <w:tc>
          <w:tcPr>
            <w:tcW w:w="184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w:t>
            </w:r>
          </w:p>
        </w:tc>
      </w:tr>
      <w:tr>
        <w:tblPrEx>
          <w:tblCellMar>
            <w:top w:w="0" w:type="dxa"/>
            <w:left w:w="108" w:type="dxa"/>
            <w:bottom w:w="0" w:type="dxa"/>
            <w:right w:w="108" w:type="dxa"/>
          </w:tblCellMar>
        </w:tblPrEx>
        <w:trPr>
          <w:trHeight w:val="397" w:hRule="exact"/>
          <w:jc w:val="center"/>
        </w:trPr>
        <w:tc>
          <w:tcPr>
            <w:tcW w:w="6091"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国家杰出青年科学基金获得者</w:t>
            </w:r>
          </w:p>
        </w:tc>
        <w:tc>
          <w:tcPr>
            <w:tcW w:w="184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lang w:val="en-US" w:eastAsia="zh-CN"/>
              </w:rPr>
              <w:t>4</w:t>
            </w:r>
          </w:p>
        </w:tc>
      </w:tr>
      <w:tr>
        <w:tblPrEx>
          <w:tblCellMar>
            <w:top w:w="0" w:type="dxa"/>
            <w:left w:w="108" w:type="dxa"/>
            <w:bottom w:w="0" w:type="dxa"/>
            <w:right w:w="108" w:type="dxa"/>
          </w:tblCellMar>
        </w:tblPrEx>
        <w:trPr>
          <w:trHeight w:val="397" w:hRule="exact"/>
          <w:jc w:val="center"/>
        </w:trPr>
        <w:tc>
          <w:tcPr>
            <w:tcW w:w="6091"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国家自然科学基金海外杰出青年基金获得者</w:t>
            </w:r>
          </w:p>
        </w:tc>
        <w:tc>
          <w:tcPr>
            <w:tcW w:w="184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lang w:val="en-US" w:eastAsia="zh-CN"/>
              </w:rPr>
              <w:t>1</w:t>
            </w:r>
          </w:p>
        </w:tc>
      </w:tr>
      <w:tr>
        <w:tblPrEx>
          <w:tblCellMar>
            <w:top w:w="0" w:type="dxa"/>
            <w:left w:w="108" w:type="dxa"/>
            <w:bottom w:w="0" w:type="dxa"/>
            <w:right w:w="108" w:type="dxa"/>
          </w:tblCellMar>
        </w:tblPrEx>
        <w:trPr>
          <w:trHeight w:val="397" w:hRule="exact"/>
          <w:jc w:val="center"/>
        </w:trPr>
        <w:tc>
          <w:tcPr>
            <w:tcW w:w="6091"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国家高层次人才特殊支持计划科技创新领军人</w:t>
            </w:r>
          </w:p>
        </w:tc>
        <w:tc>
          <w:tcPr>
            <w:tcW w:w="184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r>
      <w:tr>
        <w:tblPrEx>
          <w:tblCellMar>
            <w:top w:w="0" w:type="dxa"/>
            <w:left w:w="108" w:type="dxa"/>
            <w:bottom w:w="0" w:type="dxa"/>
            <w:right w:w="108" w:type="dxa"/>
          </w:tblCellMar>
        </w:tblPrEx>
        <w:trPr>
          <w:trHeight w:val="397" w:hRule="exact"/>
          <w:jc w:val="center"/>
        </w:trPr>
        <w:tc>
          <w:tcPr>
            <w:tcW w:w="6091"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新世纪百千万人才工程国家级人才</w:t>
            </w:r>
          </w:p>
        </w:tc>
        <w:tc>
          <w:tcPr>
            <w:tcW w:w="184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lang w:val="en-US" w:eastAsia="zh-CN"/>
              </w:rPr>
              <w:t>6</w:t>
            </w:r>
          </w:p>
        </w:tc>
      </w:tr>
      <w:tr>
        <w:tblPrEx>
          <w:tblCellMar>
            <w:top w:w="0" w:type="dxa"/>
            <w:left w:w="108" w:type="dxa"/>
            <w:bottom w:w="0" w:type="dxa"/>
            <w:right w:w="108" w:type="dxa"/>
          </w:tblCellMar>
        </w:tblPrEx>
        <w:trPr>
          <w:trHeight w:val="397" w:hRule="exact"/>
          <w:jc w:val="center"/>
        </w:trPr>
        <w:tc>
          <w:tcPr>
            <w:tcW w:w="6091"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省部级</w:t>
            </w:r>
            <w:r>
              <w:rPr>
                <w:rFonts w:hint="eastAsia" w:ascii="宋体" w:hAnsi="宋体" w:cs="宋体"/>
                <w:b/>
                <w:bCs/>
                <w:color w:val="auto"/>
                <w:kern w:val="0"/>
                <w:sz w:val="21"/>
                <w:szCs w:val="21"/>
                <w:highlight w:val="none"/>
              </w:rPr>
              <w:t>有突出贡献专家</w:t>
            </w:r>
          </w:p>
        </w:tc>
        <w:tc>
          <w:tcPr>
            <w:tcW w:w="184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lang w:val="en-US" w:eastAsia="zh-CN"/>
              </w:rPr>
              <w:t>6</w:t>
            </w:r>
          </w:p>
        </w:tc>
      </w:tr>
      <w:tr>
        <w:tblPrEx>
          <w:tblCellMar>
            <w:top w:w="0" w:type="dxa"/>
            <w:left w:w="108" w:type="dxa"/>
            <w:bottom w:w="0" w:type="dxa"/>
            <w:right w:w="108" w:type="dxa"/>
          </w:tblCellMar>
        </w:tblPrEx>
        <w:trPr>
          <w:trHeight w:val="397" w:hRule="exact"/>
          <w:jc w:val="center"/>
        </w:trPr>
        <w:tc>
          <w:tcPr>
            <w:tcW w:w="6091"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其他国家级人才</w:t>
            </w:r>
          </w:p>
        </w:tc>
        <w:tc>
          <w:tcPr>
            <w:tcW w:w="184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lang w:val="en-US" w:eastAsia="zh-CN"/>
              </w:rPr>
              <w:t>6</w:t>
            </w:r>
          </w:p>
        </w:tc>
      </w:tr>
      <w:tr>
        <w:tblPrEx>
          <w:tblCellMar>
            <w:top w:w="0" w:type="dxa"/>
            <w:left w:w="108" w:type="dxa"/>
            <w:bottom w:w="0" w:type="dxa"/>
            <w:right w:w="108" w:type="dxa"/>
          </w:tblCellMar>
        </w:tblPrEx>
        <w:trPr>
          <w:trHeight w:val="397" w:hRule="exact"/>
          <w:jc w:val="center"/>
        </w:trPr>
        <w:tc>
          <w:tcPr>
            <w:tcW w:w="6091"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教育部新世纪优秀人才支持计划人选</w:t>
            </w:r>
          </w:p>
        </w:tc>
        <w:tc>
          <w:tcPr>
            <w:tcW w:w="184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14</w:t>
            </w:r>
          </w:p>
        </w:tc>
      </w:tr>
      <w:tr>
        <w:tblPrEx>
          <w:tblCellMar>
            <w:top w:w="0" w:type="dxa"/>
            <w:left w:w="108" w:type="dxa"/>
            <w:bottom w:w="0" w:type="dxa"/>
            <w:right w:w="108" w:type="dxa"/>
          </w:tblCellMar>
        </w:tblPrEx>
        <w:trPr>
          <w:trHeight w:val="397" w:hRule="exact"/>
          <w:jc w:val="center"/>
        </w:trPr>
        <w:tc>
          <w:tcPr>
            <w:tcW w:w="6091"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何梁何利基金科学与技术奖</w:t>
            </w:r>
          </w:p>
        </w:tc>
        <w:tc>
          <w:tcPr>
            <w:tcW w:w="184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2</w:t>
            </w:r>
          </w:p>
        </w:tc>
      </w:tr>
      <w:tr>
        <w:tblPrEx>
          <w:tblCellMar>
            <w:top w:w="0" w:type="dxa"/>
            <w:left w:w="108" w:type="dxa"/>
            <w:bottom w:w="0" w:type="dxa"/>
            <w:right w:w="108" w:type="dxa"/>
          </w:tblCellMar>
        </w:tblPrEx>
        <w:trPr>
          <w:trHeight w:val="397" w:hRule="exact"/>
          <w:jc w:val="center"/>
        </w:trPr>
        <w:tc>
          <w:tcPr>
            <w:tcW w:w="6091"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国家优秀青年科学基金获得者</w:t>
            </w:r>
          </w:p>
        </w:tc>
        <w:tc>
          <w:tcPr>
            <w:tcW w:w="184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lang w:val="en-US" w:eastAsia="zh-CN"/>
              </w:rPr>
              <w:t>2</w:t>
            </w:r>
          </w:p>
        </w:tc>
      </w:tr>
      <w:tr>
        <w:tblPrEx>
          <w:tblCellMar>
            <w:top w:w="0" w:type="dxa"/>
            <w:left w:w="108" w:type="dxa"/>
            <w:bottom w:w="0" w:type="dxa"/>
            <w:right w:w="108" w:type="dxa"/>
          </w:tblCellMar>
        </w:tblPrEx>
        <w:trPr>
          <w:trHeight w:val="397" w:hRule="exact"/>
          <w:jc w:val="center"/>
        </w:trPr>
        <w:tc>
          <w:tcPr>
            <w:tcW w:w="6091"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享受国务院特殊津贴人员</w:t>
            </w:r>
          </w:p>
        </w:tc>
        <w:tc>
          <w:tcPr>
            <w:tcW w:w="1842"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rPr>
              <w:t>2</w:t>
            </w:r>
            <w:r>
              <w:rPr>
                <w:rFonts w:hint="eastAsia" w:ascii="宋体" w:hAnsi="宋体" w:cs="宋体"/>
                <w:color w:val="auto"/>
                <w:kern w:val="0"/>
                <w:sz w:val="21"/>
                <w:szCs w:val="21"/>
                <w:highlight w:val="none"/>
                <w:lang w:val="en-US" w:eastAsia="zh-CN"/>
              </w:rPr>
              <w:t>0</w:t>
            </w:r>
          </w:p>
        </w:tc>
      </w:tr>
      <w:tr>
        <w:tblPrEx>
          <w:tblCellMar>
            <w:top w:w="0" w:type="dxa"/>
            <w:left w:w="108" w:type="dxa"/>
            <w:bottom w:w="0" w:type="dxa"/>
            <w:right w:w="108" w:type="dxa"/>
          </w:tblCellMar>
        </w:tblPrEx>
        <w:trPr>
          <w:trHeight w:val="397" w:hRule="exact"/>
          <w:jc w:val="center"/>
        </w:trPr>
        <w:tc>
          <w:tcPr>
            <w:tcW w:w="60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全国优秀教师、优秀教育工作者</w:t>
            </w:r>
          </w:p>
        </w:tc>
        <w:tc>
          <w:tcPr>
            <w:tcW w:w="18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hint="eastAsia" w:ascii="宋体" w:hAnsi="宋体" w:cs="宋体"/>
                <w:color w:val="auto"/>
                <w:kern w:val="0"/>
                <w:sz w:val="21"/>
                <w:szCs w:val="21"/>
                <w:highlight w:val="none"/>
                <w:lang w:eastAsia="zh-CN"/>
              </w:rPr>
            </w:pPr>
            <w:r>
              <w:rPr>
                <w:rFonts w:hint="eastAsia" w:ascii="宋体" w:hAnsi="宋体" w:cs="宋体"/>
                <w:color w:val="auto"/>
                <w:kern w:val="0"/>
                <w:sz w:val="21"/>
                <w:szCs w:val="21"/>
                <w:highlight w:val="none"/>
                <w:lang w:val="en-US" w:eastAsia="zh-CN"/>
              </w:rPr>
              <w:t>3</w:t>
            </w:r>
          </w:p>
        </w:tc>
      </w:tr>
      <w:tr>
        <w:tblPrEx>
          <w:tblCellMar>
            <w:top w:w="0" w:type="dxa"/>
            <w:left w:w="108" w:type="dxa"/>
            <w:bottom w:w="0" w:type="dxa"/>
            <w:right w:w="108" w:type="dxa"/>
          </w:tblCellMar>
        </w:tblPrEx>
        <w:trPr>
          <w:trHeight w:val="397" w:hRule="exact"/>
          <w:jc w:val="center"/>
        </w:trPr>
        <w:tc>
          <w:tcPr>
            <w:tcW w:w="60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宋体" w:hAnsi="宋体" w:eastAsia="宋体" w:cs="宋体"/>
                <w:b/>
                <w:bCs/>
                <w:color w:val="auto"/>
                <w:kern w:val="0"/>
                <w:sz w:val="21"/>
                <w:szCs w:val="21"/>
                <w:highlight w:val="none"/>
                <w:lang w:val="en-US" w:eastAsia="zh-CN"/>
              </w:rPr>
            </w:pPr>
            <w:r>
              <w:rPr>
                <w:rFonts w:hint="eastAsia" w:ascii="宋体" w:hAnsi="宋体" w:cs="宋体"/>
                <w:b/>
                <w:bCs/>
                <w:color w:val="auto"/>
                <w:kern w:val="0"/>
                <w:sz w:val="21"/>
                <w:szCs w:val="21"/>
                <w:highlight w:val="none"/>
                <w:lang w:val="en-US" w:eastAsia="zh-CN"/>
              </w:rPr>
              <w:t>教育部教指委委员</w:t>
            </w:r>
          </w:p>
        </w:tc>
        <w:tc>
          <w:tcPr>
            <w:tcW w:w="18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w:t>
            </w:r>
          </w:p>
        </w:tc>
      </w:tr>
    </w:tbl>
    <w:p>
      <w:pPr>
        <w:spacing w:line="240" w:lineRule="auto"/>
        <w:ind w:firstLine="480" w:firstLineChars="0"/>
        <w:jc w:val="center"/>
        <w:rPr>
          <w:rFonts w:ascii="宋体" w:hAnsi="宋体" w:cs="宋体"/>
          <w:color w:val="auto"/>
          <w:sz w:val="21"/>
          <w:szCs w:val="21"/>
        </w:rPr>
      </w:pPr>
    </w:p>
    <w:p>
      <w:pPr>
        <w:pStyle w:val="3"/>
        <w:spacing w:before="156" w:after="156"/>
        <w:rPr>
          <w:rFonts w:ascii="黑体" w:hAnsi="黑体" w:eastAsia="黑体"/>
          <w:color w:val="auto"/>
          <w:sz w:val="28"/>
        </w:rPr>
      </w:pPr>
      <w:bookmarkStart w:id="58" w:name="_Toc16600"/>
      <w:bookmarkStart w:id="59" w:name="_Toc88219327"/>
      <w:bookmarkStart w:id="60" w:name="_Toc89702795"/>
      <w:bookmarkStart w:id="61" w:name="_Toc9896"/>
      <w:bookmarkStart w:id="62" w:name="_Toc88218416"/>
      <w:bookmarkStart w:id="63" w:name="_Toc4510"/>
      <w:r>
        <w:rPr>
          <w:rFonts w:hint="eastAsia" w:ascii="黑体" w:hAnsi="黑体" w:eastAsia="黑体"/>
          <w:color w:val="auto"/>
          <w:sz w:val="28"/>
        </w:rPr>
        <w:t>3</w:t>
      </w:r>
      <w:r>
        <w:rPr>
          <w:rFonts w:hint="eastAsia" w:ascii="黑体" w:hAnsi="黑体" w:eastAsia="黑体"/>
          <w:color w:val="auto"/>
          <w:sz w:val="28"/>
          <w:lang w:eastAsia="zh-CN"/>
        </w:rPr>
        <w:t>.</w:t>
      </w:r>
      <w:r>
        <w:rPr>
          <w:rFonts w:hint="eastAsia" w:ascii="黑体" w:hAnsi="黑体" w:eastAsia="黑体"/>
          <w:color w:val="auto"/>
          <w:sz w:val="28"/>
        </w:rPr>
        <w:t>教师发展</w:t>
      </w:r>
      <w:bookmarkEnd w:id="58"/>
      <w:bookmarkEnd w:id="59"/>
      <w:bookmarkEnd w:id="60"/>
      <w:bookmarkEnd w:id="61"/>
      <w:bookmarkEnd w:id="62"/>
      <w:bookmarkEnd w:id="63"/>
    </w:p>
    <w:p>
      <w:pPr>
        <w:spacing w:after="156" w:afterLines="50"/>
        <w:ind w:firstLine="480"/>
        <w:rPr>
          <w:rFonts w:ascii="宋体" w:hAnsi="宋体" w:cs="宋体"/>
          <w:color w:val="auto"/>
        </w:rPr>
      </w:pPr>
      <w:r>
        <w:rPr>
          <w:rFonts w:hint="eastAsia" w:ascii="宋体" w:hAnsi="宋体" w:cs="宋体"/>
          <w:color w:val="auto"/>
        </w:rPr>
        <w:t>加强师德师风建设。学校对标新时代新要求，完善“教育、宣传、考核、监督与奖惩相结合”的师德建设长效机制，探索富有特色的师德师风建设模式。一是加强制度建设，学校出台</w:t>
      </w:r>
      <w:r>
        <w:rPr>
          <w:rFonts w:hint="eastAsia" w:ascii="宋体" w:hAnsi="宋体" w:cs="宋体"/>
          <w:color w:val="auto"/>
          <w:lang w:eastAsia="zh-CN"/>
        </w:rPr>
        <w:t>《</w:t>
      </w:r>
      <w:r>
        <w:rPr>
          <w:rFonts w:hint="eastAsia" w:ascii="宋体" w:hAnsi="宋体" w:cs="宋体"/>
          <w:color w:val="auto"/>
          <w:lang w:val="en-US" w:eastAsia="zh-CN"/>
        </w:rPr>
        <w:t>关于进一步加强和改进新时代师德师风建设的实施意见</w:t>
      </w:r>
      <w:r>
        <w:rPr>
          <w:rFonts w:hint="eastAsia" w:ascii="宋体" w:hAnsi="宋体" w:cs="宋体"/>
          <w:color w:val="auto"/>
          <w:lang w:eastAsia="zh-CN"/>
        </w:rPr>
        <w:t>》</w:t>
      </w:r>
      <w:r>
        <w:rPr>
          <w:rFonts w:hint="eastAsia" w:ascii="宋体" w:hAnsi="宋体" w:cs="宋体"/>
          <w:color w:val="auto"/>
        </w:rPr>
        <w:t>《关于师德建设长效机制的实施办法》《教师课外育人工作考核办法（试行）》，为师德师风建设提供了更为完备的制度保障；二是健全各项机制，成立师德建设工作领导小组，定期召开师风师德建设工作学习交流会；三是开展主题活动，学校设“师德建设主题月”，举行新教师入职宣誓仪式和老教师荣休仪式，评选表彰各类先进、宣传师德典型事迹；四是加强考核评价和监督机制，出台《教师师德失范行为处理办法（试行）》，在教师准入、教师考核、职称评聘、岗位聘用、评奖评优考等工作中，严格实行师德师风一票否决制。</w:t>
      </w:r>
    </w:p>
    <w:p>
      <w:pPr>
        <w:spacing w:after="156" w:afterLines="50"/>
        <w:ind w:firstLine="480"/>
        <w:rPr>
          <w:rFonts w:hint="eastAsia" w:ascii="宋体" w:hAnsi="宋体" w:cs="宋体"/>
          <w:color w:val="auto"/>
        </w:rPr>
      </w:pPr>
      <w:r>
        <w:rPr>
          <w:rFonts w:hint="eastAsia" w:ascii="宋体" w:hAnsi="宋体" w:cs="宋体"/>
          <w:color w:val="auto"/>
        </w:rPr>
        <w:t>促进教师专业发展。学校创新人才引育机制，落实</w:t>
      </w:r>
      <w:r>
        <w:rPr>
          <w:rFonts w:hint="eastAsia" w:ascii="宋体" w:hAnsi="宋体" w:cs="宋体"/>
          <w:color w:val="auto"/>
          <w:lang w:eastAsia="zh-CN"/>
        </w:rPr>
        <w:t>《人才引进管理办法（修订）》《关于进一步加强高层次人才队伍建设的若干意见（试行）》</w:t>
      </w:r>
      <w:r>
        <w:rPr>
          <w:rFonts w:hint="eastAsia" w:ascii="宋体" w:hAnsi="宋体" w:cs="宋体"/>
          <w:color w:val="auto"/>
        </w:rPr>
        <w:t>《关于改进和加强人才工作的若干意见》《关于进一步深化人事制度改革的若干意见》《关于加强人才生态环境建设的若干意见》《卓越人才计划（修订）》《卓越海外人才引智计划》《卓越拔尖人才支持计划》等文件精神，构建人才引育、成长、激励、发展的育人体系；深入实施中青年教师“师从名师”“师从良师”“师从能师”教师专业发展计划，构建科学高效的创新人才培养与成长体系；建立系统化青年教师专业发展支持机制，推进青年教师博士化、国际化建设；落实《关于加强科研工作的若干意见》等制度，强化科研反哺教学，形成教学与科研之间的良性互动。</w:t>
      </w:r>
    </w:p>
    <w:p>
      <w:pPr>
        <w:spacing w:after="156" w:afterLines="50"/>
        <w:ind w:firstLine="480"/>
        <w:rPr>
          <w:rFonts w:ascii="宋体" w:hAnsi="宋体" w:cs="宋体"/>
          <w:color w:val="auto"/>
          <w:highlight w:val="none"/>
        </w:rPr>
      </w:pPr>
      <w:r>
        <w:rPr>
          <w:rFonts w:hint="eastAsia" w:ascii="宋体" w:hAnsi="宋体" w:cs="宋体"/>
          <w:color w:val="auto"/>
        </w:rPr>
        <w:t>促进教师教学发展。</w:t>
      </w:r>
      <w:r>
        <w:rPr>
          <w:rFonts w:hint="eastAsia" w:ascii="宋体" w:hAnsi="宋体" w:cs="宋体"/>
          <w:color w:val="auto"/>
          <w:lang w:val="en-US" w:eastAsia="zh-CN"/>
        </w:rPr>
        <w:t>2022-2023学年，学校面向全校教师集中培训3100余人次，基于OBE的教育教学理念，渗透学科交叉融合的思维，以“多维度立体化培训体系建设”和“多场景数字化综合平台建设”为核心，聚焦“专业、课程、课堂”，提升高校教师教学能力培养的有效性和长效性；同时，加强制度引领，建立健全“层面、类别、形式”交叉融合的教师教学能力培养培训体系，实施青年教师“双导师制”和“助讲培养制”，通过形式多样的培训活动，帮助青年教师提高师德修养，树立全员育人教育思想理念，形成和提高课堂教学策略和技巧，增强教学研究、教学学术能力与教学创新意识；面向全体教师开展多主题轮训，鼓励教师以不同学科背景形成教学研究团队，以社会主义核心价值观为引领，用专业知识承载思政元素，通过教学实践引导学生积极的价值追求。</w:t>
      </w:r>
    </w:p>
    <w:p>
      <w:pPr>
        <w:pStyle w:val="3"/>
        <w:spacing w:before="156" w:after="156"/>
        <w:rPr>
          <w:rFonts w:hint="default" w:ascii="黑体" w:hAnsi="黑体" w:eastAsia="黑体"/>
          <w:color w:val="auto"/>
          <w:sz w:val="28"/>
          <w:lang w:val="en-US" w:eastAsia="zh-CN"/>
        </w:rPr>
      </w:pPr>
      <w:bookmarkStart w:id="64" w:name="_Toc3871"/>
      <w:r>
        <w:rPr>
          <w:rFonts w:hint="eastAsia" w:ascii="黑体" w:hAnsi="黑体" w:eastAsia="黑体"/>
          <w:color w:val="auto"/>
          <w:sz w:val="28"/>
          <w:lang w:val="en-US" w:eastAsia="zh-CN"/>
        </w:rPr>
        <w:t>（二）教学经费投入</w:t>
      </w:r>
      <w:bookmarkEnd w:id="64"/>
    </w:p>
    <w:p>
      <w:pPr>
        <w:spacing w:after="156" w:afterLines="50"/>
        <w:ind w:firstLine="480"/>
        <w:rPr>
          <w:rFonts w:ascii="宋体" w:hAnsi="宋体" w:cs="宋体"/>
          <w:color w:val="auto"/>
        </w:rPr>
      </w:pPr>
      <w:r>
        <w:rPr>
          <w:rFonts w:hint="eastAsia" w:ascii="宋体" w:hAnsi="宋体" w:cs="宋体"/>
          <w:color w:val="auto"/>
        </w:rPr>
        <w:t>学校坚持“统筹兼顾，教学优先”的原则，建立保障教学经费优先投入的长效机制，确保教学运行经费满足需求。近三年，学校教学经费总额逐年增加。</w:t>
      </w:r>
    </w:p>
    <w:p>
      <w:pPr>
        <w:spacing w:after="156" w:afterLines="50"/>
        <w:ind w:firstLine="480"/>
        <w:rPr>
          <w:rFonts w:hint="eastAsia" w:ascii="宋体" w:hAnsi="宋体" w:cs="宋体"/>
          <w:color w:val="auto"/>
        </w:rPr>
      </w:pPr>
      <w:r>
        <w:rPr>
          <w:rFonts w:hint="eastAsia" w:ascii="宋体" w:hAnsi="宋体" w:cs="宋体"/>
          <w:color w:val="auto"/>
          <w:lang w:val="en-US" w:eastAsia="zh-CN"/>
        </w:rPr>
        <w:t>2022</w:t>
      </w:r>
      <w:r>
        <w:rPr>
          <w:rFonts w:hint="eastAsia" w:ascii="宋体" w:hAnsi="宋体" w:cs="宋体"/>
          <w:color w:val="auto"/>
        </w:rPr>
        <w:t>年教学日常运行支出为</w:t>
      </w:r>
      <w:r>
        <w:rPr>
          <w:rFonts w:hint="eastAsia" w:ascii="宋体" w:hAnsi="宋体" w:cs="宋体"/>
          <w:color w:val="auto"/>
          <w:lang w:val="en-US" w:eastAsia="zh-CN"/>
        </w:rPr>
        <w:t>9617.68</w:t>
      </w:r>
      <w:r>
        <w:rPr>
          <w:rFonts w:hint="eastAsia" w:ascii="宋体" w:hAnsi="宋体" w:cs="宋体"/>
          <w:color w:val="auto"/>
        </w:rPr>
        <w:t>万元，</w:t>
      </w:r>
      <w:r>
        <w:rPr>
          <w:rFonts w:hint="eastAsia" w:ascii="宋体" w:hAnsi="宋体" w:cs="宋体"/>
          <w:color w:val="auto"/>
          <w:lang w:val="en-US" w:eastAsia="zh-CN"/>
        </w:rPr>
        <w:t>其中，实践教学支出2574.94万元，含</w:t>
      </w:r>
      <w:r>
        <w:rPr>
          <w:rFonts w:hint="eastAsia" w:ascii="宋体" w:hAnsi="宋体" w:cs="宋体"/>
          <w:color w:val="auto"/>
        </w:rPr>
        <w:t>实验经费支出</w:t>
      </w:r>
      <w:r>
        <w:rPr>
          <w:rFonts w:hint="eastAsia" w:ascii="宋体" w:hAnsi="宋体" w:cs="宋体"/>
          <w:color w:val="auto"/>
          <w:lang w:val="en-US" w:eastAsia="zh-CN"/>
        </w:rPr>
        <w:t>1339.29</w:t>
      </w:r>
      <w:r>
        <w:rPr>
          <w:rFonts w:hint="eastAsia" w:ascii="宋体" w:hAnsi="宋体" w:cs="宋体"/>
          <w:color w:val="auto"/>
        </w:rPr>
        <w:t>万元</w:t>
      </w:r>
      <w:r>
        <w:rPr>
          <w:rFonts w:hint="eastAsia" w:ascii="宋体" w:hAnsi="宋体" w:cs="宋体"/>
          <w:color w:val="auto"/>
          <w:lang w:val="en-US" w:eastAsia="zh-CN"/>
        </w:rPr>
        <w:t>和</w:t>
      </w:r>
      <w:r>
        <w:rPr>
          <w:rFonts w:hint="eastAsia" w:ascii="宋体" w:hAnsi="宋体" w:cs="宋体"/>
          <w:color w:val="auto"/>
        </w:rPr>
        <w:t>实习经费支出</w:t>
      </w:r>
      <w:r>
        <w:rPr>
          <w:rFonts w:hint="eastAsia" w:ascii="宋体" w:hAnsi="宋体" w:cs="宋体"/>
          <w:color w:val="auto"/>
          <w:lang w:val="en-US" w:eastAsia="zh-CN"/>
        </w:rPr>
        <w:t>1235.65</w:t>
      </w:r>
      <w:r>
        <w:rPr>
          <w:rFonts w:hint="eastAsia" w:ascii="宋体" w:hAnsi="宋体" w:cs="宋体"/>
          <w:color w:val="auto"/>
        </w:rPr>
        <w:t>万元。生均教学日常运行支出为</w:t>
      </w:r>
      <w:r>
        <w:rPr>
          <w:rFonts w:hint="eastAsia" w:ascii="宋体" w:hAnsi="宋体" w:cs="宋体"/>
          <w:color w:val="auto"/>
          <w:lang w:val="en-US" w:eastAsia="zh-CN"/>
        </w:rPr>
        <w:t>2627.46</w:t>
      </w:r>
      <w:r>
        <w:rPr>
          <w:rFonts w:hint="eastAsia" w:ascii="宋体" w:hAnsi="宋体" w:cs="宋体"/>
          <w:color w:val="auto"/>
        </w:rPr>
        <w:t>元，生均</w:t>
      </w:r>
      <w:r>
        <w:rPr>
          <w:rFonts w:hint="eastAsia" w:ascii="宋体" w:hAnsi="宋体" w:cs="宋体"/>
          <w:color w:val="auto"/>
          <w:lang w:val="en-US" w:eastAsia="zh-CN"/>
        </w:rPr>
        <w:t>实践</w:t>
      </w:r>
      <w:r>
        <w:rPr>
          <w:rFonts w:hint="eastAsia" w:ascii="宋体" w:hAnsi="宋体" w:cs="宋体"/>
          <w:color w:val="auto"/>
        </w:rPr>
        <w:t>经费为</w:t>
      </w:r>
      <w:r>
        <w:rPr>
          <w:rFonts w:hint="eastAsia" w:ascii="宋体" w:hAnsi="宋体" w:cs="宋体"/>
          <w:color w:val="auto"/>
          <w:lang w:val="en-US" w:eastAsia="zh-CN"/>
        </w:rPr>
        <w:t>1020.22</w:t>
      </w:r>
      <w:r>
        <w:rPr>
          <w:rFonts w:hint="eastAsia" w:ascii="宋体" w:hAnsi="宋体" w:cs="宋体"/>
          <w:color w:val="auto"/>
        </w:rPr>
        <w:t>元。近两年生均教学日常运行支出、生均实验经费、生均实习经费详见图</w:t>
      </w:r>
      <w:r>
        <w:rPr>
          <w:rFonts w:hint="eastAsia" w:ascii="宋体" w:hAnsi="宋体" w:cs="宋体"/>
          <w:color w:val="auto"/>
          <w:lang w:val="en-US" w:eastAsia="zh-CN"/>
        </w:rPr>
        <w:t>3</w:t>
      </w:r>
      <w:r>
        <w:rPr>
          <w:rFonts w:hint="eastAsia" w:ascii="宋体" w:hAnsi="宋体" w:cs="宋体"/>
          <w:color w:val="auto"/>
        </w:rPr>
        <w:t>。</w:t>
      </w:r>
    </w:p>
    <w:p>
      <w:pPr>
        <w:spacing w:after="156" w:afterLines="50"/>
        <w:ind w:firstLine="480"/>
        <w:jc w:val="center"/>
        <w:rPr>
          <w:rFonts w:hint="eastAsia" w:ascii="宋体" w:hAnsi="宋体" w:cs="宋体"/>
          <w:color w:val="auto"/>
        </w:rPr>
      </w:pPr>
      <w:r>
        <w:rPr>
          <w:rFonts w:hint="eastAsia" w:ascii="宋体" w:hAnsi="宋体" w:eastAsia="宋体" w:cs="宋体"/>
          <w:color w:val="auto"/>
          <w:kern w:val="2"/>
          <w:sz w:val="21"/>
          <w:szCs w:val="21"/>
          <w:lang w:val="en-US" w:eastAsia="zh-CN" w:bidi="ar-SA"/>
        </w:rPr>
        <w:t>图</w:t>
      </w:r>
      <w:r>
        <w:rPr>
          <w:rFonts w:hint="eastAsia" w:ascii="宋体" w:hAnsi="宋体" w:cs="宋体"/>
          <w:color w:val="auto"/>
          <w:kern w:val="2"/>
          <w:sz w:val="21"/>
          <w:szCs w:val="21"/>
          <w:lang w:val="en-US" w:eastAsia="zh-CN" w:bidi="ar-SA"/>
        </w:rPr>
        <w:t>3</w:t>
      </w:r>
      <w:r>
        <w:rPr>
          <w:rFonts w:hint="eastAsia" w:ascii="宋体" w:hAnsi="宋体" w:eastAsia="宋体" w:cs="宋体"/>
          <w:color w:val="auto"/>
          <w:kern w:val="2"/>
          <w:sz w:val="21"/>
          <w:szCs w:val="21"/>
          <w:lang w:val="en-US" w:eastAsia="zh-CN" w:bidi="ar-SA"/>
        </w:rPr>
        <w:t xml:space="preserve">  近两学年</w:t>
      </w:r>
      <w:r>
        <w:rPr>
          <w:rFonts w:hint="eastAsia" w:ascii="宋体" w:hAnsi="宋体" w:cs="宋体"/>
          <w:color w:val="auto"/>
          <w:kern w:val="2"/>
          <w:sz w:val="21"/>
          <w:szCs w:val="21"/>
          <w:lang w:val="en-US" w:eastAsia="zh-CN" w:bidi="ar-SA"/>
        </w:rPr>
        <w:t>生均教学经费</w:t>
      </w:r>
      <w:r>
        <w:rPr>
          <w:rFonts w:hint="eastAsia" w:ascii="宋体" w:hAnsi="宋体" w:eastAsia="宋体" w:cs="宋体"/>
          <w:color w:val="auto"/>
          <w:kern w:val="2"/>
          <w:sz w:val="21"/>
          <w:szCs w:val="21"/>
          <w:lang w:val="en-US" w:eastAsia="zh-CN" w:bidi="ar-SA"/>
        </w:rPr>
        <w:t>情况</w:t>
      </w:r>
      <w:r>
        <w:rPr>
          <w:rFonts w:hint="eastAsia" w:ascii="黑体" w:hAnsi="黑体" w:eastAsia="黑体"/>
          <w:color w:val="auto"/>
          <w:sz w:val="24"/>
          <w:szCs w:val="24"/>
          <w:lang w:eastAsia="zh-CN"/>
        </w:rPr>
        <w:drawing>
          <wp:anchor distT="0" distB="0" distL="114300" distR="114300" simplePos="0" relativeHeight="251660288" behindDoc="1" locked="0" layoutInCell="1" allowOverlap="1">
            <wp:simplePos x="0" y="0"/>
            <wp:positionH relativeFrom="column">
              <wp:posOffset>61595</wp:posOffset>
            </wp:positionH>
            <wp:positionV relativeFrom="paragraph">
              <wp:posOffset>36195</wp:posOffset>
            </wp:positionV>
            <wp:extent cx="5080000" cy="3810000"/>
            <wp:effectExtent l="4445" t="4445" r="20955" b="14605"/>
            <wp:wrapTight wrapText="bothSides">
              <wp:wrapPolygon>
                <wp:start x="-19" y="-25"/>
                <wp:lineTo x="-19" y="21575"/>
                <wp:lineTo x="21527" y="21575"/>
                <wp:lineTo x="21527" y="-25"/>
                <wp:lineTo x="-19" y="-25"/>
              </wp:wrapPolygon>
            </wp:wrapTight>
            <wp:docPr id="3" name="图表 3" descr="{{图生均教学日常运行支出}}"/>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anchor>
        </w:drawing>
      </w:r>
    </w:p>
    <w:p>
      <w:pPr>
        <w:pStyle w:val="3"/>
        <w:spacing w:before="156" w:after="156"/>
        <w:rPr>
          <w:rFonts w:ascii="黑体" w:hAnsi="黑体" w:eastAsia="黑体"/>
          <w:color w:val="auto"/>
          <w:sz w:val="28"/>
        </w:rPr>
      </w:pPr>
      <w:bookmarkStart w:id="65" w:name="_Toc88219330"/>
      <w:bookmarkStart w:id="66" w:name="_Toc23780"/>
      <w:bookmarkStart w:id="67" w:name="_Toc88218419"/>
      <w:bookmarkStart w:id="68" w:name="_Toc89702798"/>
      <w:bookmarkStart w:id="69" w:name="_Toc11597"/>
      <w:bookmarkStart w:id="70" w:name="_Toc22901"/>
      <w:r>
        <w:rPr>
          <w:rFonts w:hint="eastAsia" w:ascii="黑体" w:hAnsi="黑体" w:eastAsia="黑体"/>
          <w:color w:val="auto"/>
          <w:sz w:val="28"/>
          <w:lang w:val="en-US" w:eastAsia="zh-CN"/>
        </w:rPr>
        <w:t>（三）</w:t>
      </w:r>
      <w:r>
        <w:rPr>
          <w:rFonts w:hint="eastAsia" w:ascii="黑体" w:hAnsi="黑体" w:eastAsia="黑体"/>
          <w:color w:val="auto"/>
          <w:sz w:val="28"/>
        </w:rPr>
        <w:t>教学设施情况</w:t>
      </w:r>
      <w:bookmarkEnd w:id="65"/>
      <w:bookmarkEnd w:id="66"/>
      <w:bookmarkEnd w:id="67"/>
      <w:bookmarkEnd w:id="68"/>
      <w:bookmarkEnd w:id="69"/>
      <w:bookmarkEnd w:id="70"/>
    </w:p>
    <w:p>
      <w:pPr>
        <w:pStyle w:val="4"/>
        <w:rPr>
          <w:rFonts w:ascii="黑体" w:hAnsi="黑体" w:cs="黑体"/>
          <w:color w:val="auto"/>
        </w:rPr>
      </w:pPr>
      <w:bookmarkStart w:id="71" w:name="_Toc501116667"/>
      <w:bookmarkStart w:id="72" w:name="_Toc89702799"/>
      <w:bookmarkStart w:id="73" w:name="_Toc8908"/>
      <w:bookmarkStart w:id="74" w:name="_Toc88218420"/>
      <w:bookmarkStart w:id="75" w:name="_Toc30282"/>
      <w:bookmarkStart w:id="76" w:name="_Toc11427"/>
      <w:r>
        <w:rPr>
          <w:rFonts w:hint="eastAsia" w:ascii="黑体" w:hAnsi="黑体" w:cs="黑体"/>
          <w:color w:val="auto"/>
          <w:lang w:val="en-US" w:eastAsia="zh-CN"/>
        </w:rPr>
        <w:t>1.</w:t>
      </w:r>
      <w:r>
        <w:rPr>
          <w:rFonts w:hint="eastAsia" w:ascii="黑体" w:hAnsi="黑体" w:cs="黑体"/>
          <w:color w:val="auto"/>
        </w:rPr>
        <w:t>教学用房</w:t>
      </w:r>
      <w:bookmarkEnd w:id="71"/>
      <w:bookmarkEnd w:id="72"/>
      <w:bookmarkEnd w:id="73"/>
      <w:bookmarkEnd w:id="74"/>
      <w:bookmarkEnd w:id="75"/>
      <w:bookmarkEnd w:id="76"/>
    </w:p>
    <w:p>
      <w:pPr>
        <w:spacing w:after="156" w:afterLines="50"/>
        <w:ind w:firstLine="480"/>
        <w:rPr>
          <w:rFonts w:hint="eastAsia" w:ascii="宋体" w:hAnsi="宋体" w:cs="宋体"/>
          <w:color w:val="auto"/>
        </w:rPr>
      </w:pPr>
      <w:r>
        <w:rPr>
          <w:rFonts w:hint="eastAsia" w:ascii="宋体" w:hAnsi="宋体" w:cs="宋体"/>
          <w:color w:val="auto"/>
        </w:rPr>
        <w:t>学校现有仓前、下沙、玉皇山三个校区，学校产权总占地面积为19</w:t>
      </w:r>
      <w:r>
        <w:rPr>
          <w:rFonts w:hint="eastAsia" w:ascii="宋体" w:hAnsi="宋体" w:cs="宋体"/>
          <w:color w:val="auto"/>
          <w:lang w:val="en-US" w:eastAsia="zh-CN"/>
        </w:rPr>
        <w:t>2.</w:t>
      </w:r>
      <w:r>
        <w:rPr>
          <w:rFonts w:hint="eastAsia" w:ascii="宋体" w:hAnsi="宋体" w:cs="宋体"/>
          <w:color w:val="auto"/>
        </w:rPr>
        <w:t>34</w:t>
      </w:r>
      <w:r>
        <w:rPr>
          <w:rFonts w:hint="eastAsia" w:ascii="宋体" w:hAnsi="宋体" w:cs="宋体"/>
          <w:color w:val="auto"/>
          <w:lang w:val="en-US" w:eastAsia="zh-CN"/>
        </w:rPr>
        <w:t>万</w:t>
      </w:r>
      <w:r>
        <w:rPr>
          <w:rFonts w:hint="eastAsia" w:ascii="宋体" w:hAnsi="宋体" w:cs="宋体"/>
          <w:color w:val="auto"/>
        </w:rPr>
        <w:t>㎡，学校产权总建筑面积为17</w:t>
      </w:r>
      <w:r>
        <w:rPr>
          <w:rFonts w:hint="eastAsia" w:ascii="宋体" w:hAnsi="宋体" w:cs="宋体"/>
          <w:color w:val="auto"/>
          <w:lang w:val="en-US" w:eastAsia="zh-CN"/>
        </w:rPr>
        <w:t>1.</w:t>
      </w:r>
      <w:r>
        <w:rPr>
          <w:rFonts w:hint="eastAsia" w:ascii="宋体" w:hAnsi="宋体" w:cs="宋体"/>
          <w:color w:val="auto"/>
        </w:rPr>
        <w:t>17</w:t>
      </w:r>
      <w:r>
        <w:rPr>
          <w:rFonts w:hint="eastAsia" w:ascii="宋体" w:hAnsi="宋体" w:cs="宋体"/>
          <w:color w:val="auto"/>
          <w:lang w:val="en-US" w:eastAsia="zh-CN"/>
        </w:rPr>
        <w:t>万</w:t>
      </w:r>
      <w:r>
        <w:rPr>
          <w:rFonts w:hint="eastAsia" w:ascii="宋体" w:hAnsi="宋体" w:cs="宋体"/>
          <w:color w:val="auto"/>
        </w:rPr>
        <w:t>㎡。现有教学科研及辅助用房面积共</w:t>
      </w:r>
      <w:r>
        <w:rPr>
          <w:rFonts w:hint="eastAsia" w:ascii="宋体" w:hAnsi="宋体" w:eastAsia="宋体"/>
          <w:color w:val="auto"/>
          <w:sz w:val="24"/>
          <w:szCs w:val="24"/>
          <w:u w:val="none"/>
          <w:lang w:val="en-US" w:eastAsia="zh-CN"/>
        </w:rPr>
        <w:t>884191.56</w:t>
      </w:r>
      <w:r>
        <w:rPr>
          <w:rFonts w:hint="eastAsia" w:ascii="宋体" w:hAnsi="宋体" w:cs="宋体"/>
          <w:color w:val="auto"/>
        </w:rPr>
        <w:t>㎡</w:t>
      </w:r>
      <w:r>
        <w:rPr>
          <w:rFonts w:hint="eastAsia" w:ascii="宋体" w:hAnsi="宋体" w:cs="宋体"/>
          <w:color w:val="auto"/>
          <w:lang w:eastAsia="zh-CN"/>
        </w:rPr>
        <w:t>，其中教室面积</w:t>
      </w:r>
      <w:r>
        <w:rPr>
          <w:rFonts w:hint="eastAsia" w:ascii="宋体" w:hAnsi="宋体" w:cs="宋体"/>
          <w:color w:val="auto"/>
          <w:lang w:val="en-US" w:eastAsia="zh-CN"/>
        </w:rPr>
        <w:t>180155.52</w:t>
      </w:r>
      <w:r>
        <w:rPr>
          <w:rFonts w:hint="eastAsia" w:ascii="宋体" w:hAnsi="宋体" w:cs="宋体"/>
          <w:color w:val="auto"/>
        </w:rPr>
        <w:t>㎡</w:t>
      </w:r>
      <w:r>
        <w:rPr>
          <w:rFonts w:hint="eastAsia" w:ascii="宋体" w:hAnsi="宋体" w:cs="宋体"/>
          <w:color w:val="auto"/>
          <w:lang w:eastAsia="zh-CN"/>
        </w:rPr>
        <w:t>（含智慧教室面积</w:t>
      </w:r>
      <w:r>
        <w:rPr>
          <w:rFonts w:hint="eastAsia" w:ascii="宋体" w:hAnsi="宋体" w:cs="宋体"/>
          <w:color w:val="auto"/>
          <w:lang w:val="en-US" w:eastAsia="zh-CN"/>
        </w:rPr>
        <w:t>4856.68</w:t>
      </w:r>
      <w:r>
        <w:rPr>
          <w:rFonts w:hint="eastAsia" w:ascii="宋体" w:hAnsi="宋体" w:cs="宋体"/>
          <w:color w:val="auto"/>
        </w:rPr>
        <w:t>㎡</w:t>
      </w:r>
      <w:r>
        <w:rPr>
          <w:rFonts w:hint="eastAsia" w:ascii="宋体" w:hAnsi="宋体" w:cs="宋体"/>
          <w:color w:val="auto"/>
          <w:lang w:eastAsia="zh-CN"/>
        </w:rPr>
        <w:t>），实验室及实习场所面积</w:t>
      </w:r>
      <w:r>
        <w:rPr>
          <w:rFonts w:hint="eastAsia" w:ascii="宋体" w:hAnsi="宋体" w:cs="宋体"/>
          <w:color w:val="auto"/>
          <w:lang w:val="en-US" w:eastAsia="zh-CN"/>
        </w:rPr>
        <w:t>294413.01</w:t>
      </w:r>
      <w:r>
        <w:rPr>
          <w:rFonts w:hint="eastAsia" w:ascii="宋体" w:hAnsi="宋体" w:cs="宋体"/>
          <w:color w:val="auto"/>
        </w:rPr>
        <w:t>㎡</w:t>
      </w:r>
      <w:r>
        <w:rPr>
          <w:rFonts w:hint="eastAsia" w:ascii="宋体" w:hAnsi="宋体" w:cs="宋体"/>
          <w:color w:val="auto"/>
          <w:lang w:eastAsia="zh-CN"/>
        </w:rPr>
        <w:t>。拥有体育馆面积</w:t>
      </w:r>
      <w:r>
        <w:rPr>
          <w:rFonts w:hint="eastAsia" w:ascii="宋体" w:hAnsi="宋体" w:cs="宋体"/>
          <w:color w:val="auto"/>
          <w:lang w:val="en-US" w:eastAsia="zh-CN"/>
        </w:rPr>
        <w:t>79098.8</w:t>
      </w:r>
      <w:r>
        <w:rPr>
          <w:rFonts w:hint="eastAsia" w:ascii="宋体" w:hAnsi="宋体" w:cs="宋体"/>
          <w:color w:val="auto"/>
        </w:rPr>
        <w:t>㎡</w:t>
      </w:r>
      <w:r>
        <w:rPr>
          <w:rFonts w:hint="eastAsia" w:ascii="宋体" w:hAnsi="宋体" w:cs="宋体"/>
          <w:color w:val="auto"/>
          <w:lang w:eastAsia="zh-CN"/>
        </w:rPr>
        <w:t>。拥有运动场面积</w:t>
      </w:r>
      <w:r>
        <w:rPr>
          <w:rFonts w:hint="eastAsia" w:ascii="宋体" w:hAnsi="宋体" w:cs="宋体"/>
          <w:color w:val="auto"/>
          <w:lang w:val="en-US" w:eastAsia="zh-CN"/>
        </w:rPr>
        <w:t>135357.21</w:t>
      </w:r>
      <w:r>
        <w:rPr>
          <w:rFonts w:hint="eastAsia" w:ascii="宋体" w:hAnsi="宋体" w:cs="宋体"/>
          <w:color w:val="auto"/>
        </w:rPr>
        <w:t>㎡</w:t>
      </w:r>
      <w:r>
        <w:rPr>
          <w:rFonts w:hint="eastAsia" w:ascii="宋体" w:hAnsi="宋体" w:cs="宋体"/>
          <w:color w:val="auto"/>
          <w:lang w:eastAsia="zh-CN"/>
        </w:rPr>
        <w:t>。按全日制在校生</w:t>
      </w:r>
      <w:r>
        <w:rPr>
          <w:rFonts w:hint="eastAsia" w:ascii="宋体" w:hAnsi="宋体" w:cs="宋体"/>
          <w:color w:val="auto"/>
          <w:lang w:val="en-US" w:eastAsia="zh-CN"/>
        </w:rPr>
        <w:t>31589</w:t>
      </w:r>
      <w:r>
        <w:rPr>
          <w:rFonts w:hint="eastAsia" w:ascii="宋体" w:hAnsi="宋体" w:cs="宋体"/>
          <w:color w:val="auto"/>
          <w:lang w:eastAsia="zh-CN"/>
        </w:rPr>
        <w:t>人算，生均学校占地面积为</w:t>
      </w:r>
      <w:r>
        <w:rPr>
          <w:rFonts w:hint="eastAsia" w:ascii="宋体" w:hAnsi="宋体" w:cs="宋体"/>
          <w:color w:val="auto"/>
          <w:lang w:val="en-US" w:eastAsia="zh-CN"/>
        </w:rPr>
        <w:t>60.89</w:t>
      </w:r>
      <w:r>
        <w:rPr>
          <w:rFonts w:hint="eastAsia" w:ascii="宋体" w:hAnsi="宋体" w:cs="宋体"/>
          <w:color w:val="auto"/>
        </w:rPr>
        <w:t>㎡</w:t>
      </w:r>
      <w:r>
        <w:rPr>
          <w:rFonts w:hint="eastAsia" w:ascii="宋体" w:hAnsi="宋体" w:cs="宋体"/>
          <w:color w:val="auto"/>
          <w:lang w:eastAsia="zh-CN"/>
        </w:rPr>
        <w:t>，生均教学行政用房面积为</w:t>
      </w:r>
      <w:r>
        <w:rPr>
          <w:rFonts w:hint="eastAsia" w:ascii="宋体" w:hAnsi="宋体" w:cs="宋体"/>
          <w:color w:val="auto"/>
          <w:lang w:val="en-US" w:eastAsia="zh-CN"/>
        </w:rPr>
        <w:t>27.99</w:t>
      </w:r>
      <w:r>
        <w:rPr>
          <w:rFonts w:hint="eastAsia" w:ascii="宋体" w:hAnsi="宋体" w:cs="宋体"/>
          <w:color w:val="auto"/>
        </w:rPr>
        <w:t>㎡</w:t>
      </w:r>
      <w:r>
        <w:rPr>
          <w:rFonts w:hint="eastAsia" w:ascii="宋体" w:hAnsi="宋体" w:cs="宋体"/>
          <w:color w:val="auto"/>
          <w:lang w:eastAsia="zh-CN"/>
        </w:rPr>
        <w:t>，生均实验、实习场所面积</w:t>
      </w:r>
      <w:r>
        <w:rPr>
          <w:rFonts w:hint="eastAsia" w:ascii="宋体" w:hAnsi="宋体" w:cs="宋体"/>
          <w:color w:val="auto"/>
          <w:lang w:val="en-US" w:eastAsia="zh-CN"/>
        </w:rPr>
        <w:t>9.32</w:t>
      </w:r>
      <w:r>
        <w:rPr>
          <w:rFonts w:hint="eastAsia" w:ascii="宋体" w:hAnsi="宋体" w:cs="宋体"/>
          <w:color w:val="auto"/>
        </w:rPr>
        <w:t>㎡</w:t>
      </w:r>
      <w:r>
        <w:rPr>
          <w:rFonts w:hint="eastAsia" w:ascii="宋体" w:hAnsi="宋体" w:cs="宋体"/>
          <w:color w:val="auto"/>
          <w:lang w:eastAsia="zh-CN"/>
        </w:rPr>
        <w:t>，生均体育馆面积</w:t>
      </w:r>
      <w:r>
        <w:rPr>
          <w:rFonts w:hint="eastAsia" w:ascii="宋体" w:hAnsi="宋体" w:cs="宋体"/>
          <w:color w:val="auto"/>
          <w:lang w:val="en-US" w:eastAsia="zh-CN"/>
        </w:rPr>
        <w:t>2.50</w:t>
      </w:r>
      <w:r>
        <w:rPr>
          <w:rFonts w:hint="eastAsia" w:ascii="宋体" w:hAnsi="宋体" w:cs="宋体"/>
          <w:color w:val="auto"/>
        </w:rPr>
        <w:t>㎡</w:t>
      </w:r>
      <w:r>
        <w:rPr>
          <w:rFonts w:hint="eastAsia" w:ascii="宋体" w:hAnsi="宋体" w:cs="宋体"/>
          <w:color w:val="auto"/>
          <w:lang w:eastAsia="zh-CN"/>
        </w:rPr>
        <w:t>，生均运动场面积</w:t>
      </w:r>
      <w:r>
        <w:rPr>
          <w:rFonts w:hint="eastAsia" w:ascii="宋体" w:hAnsi="宋体" w:cs="宋体"/>
          <w:color w:val="auto"/>
          <w:lang w:val="en-US" w:eastAsia="zh-CN"/>
        </w:rPr>
        <w:t>4.28</w:t>
      </w:r>
      <w:r>
        <w:rPr>
          <w:rFonts w:hint="eastAsia" w:ascii="宋体" w:hAnsi="宋体" w:cs="宋体"/>
          <w:color w:val="auto"/>
        </w:rPr>
        <w:t>㎡</w:t>
      </w:r>
      <w:r>
        <w:rPr>
          <w:rFonts w:hint="eastAsia" w:ascii="宋体" w:hAnsi="宋体" w:eastAsia="宋体"/>
          <w:color w:val="auto"/>
          <w:sz w:val="24"/>
          <w:szCs w:val="24"/>
        </w:rPr>
        <w:t>。详见表</w:t>
      </w:r>
      <w:r>
        <w:rPr>
          <w:rFonts w:hint="eastAsia" w:ascii="宋体" w:hAnsi="宋体"/>
          <w:color w:val="auto"/>
          <w:sz w:val="24"/>
          <w:szCs w:val="24"/>
          <w:lang w:val="en-US" w:eastAsia="zh-CN"/>
        </w:rPr>
        <w:t>3</w:t>
      </w:r>
      <w:r>
        <w:rPr>
          <w:rFonts w:hint="eastAsia" w:ascii="宋体" w:hAnsi="宋体" w:cs="宋体"/>
          <w:color w:val="auto"/>
        </w:rPr>
        <w:t>。</w:t>
      </w:r>
    </w:p>
    <w:p>
      <w:pPr>
        <w:jc w:val="center"/>
        <w:rPr>
          <w:color w:val="auto"/>
        </w:rPr>
      </w:pPr>
      <w:r>
        <w:rPr>
          <w:rFonts w:hint="eastAsia" w:ascii="宋体" w:hAnsi="宋体" w:eastAsia="宋体"/>
          <w:color w:val="auto"/>
          <w:sz w:val="24"/>
          <w:szCs w:val="24"/>
        </w:rPr>
        <w:t>表</w:t>
      </w:r>
      <w:r>
        <w:rPr>
          <w:rFonts w:hint="eastAsia" w:ascii="宋体" w:hAnsi="宋体"/>
          <w:color w:val="auto"/>
          <w:sz w:val="24"/>
          <w:szCs w:val="24"/>
          <w:lang w:val="en-US" w:eastAsia="zh-CN"/>
        </w:rPr>
        <w:t>3</w:t>
      </w:r>
      <w:r>
        <w:rPr>
          <w:rFonts w:hint="eastAsia" w:ascii="宋体" w:hAnsi="宋体" w:eastAsia="宋体"/>
          <w:color w:val="auto"/>
          <w:sz w:val="24"/>
          <w:szCs w:val="24"/>
        </w:rPr>
        <w:t xml:space="preserve"> 各生均面积详细情况
</w:t>
      </w:r>
    </w:p>
    <w:tbl>
      <w:tblPr>
        <w:tblStyle w:val="19"/>
        <w:tblW w:w="852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302"/>
        <w:gridCol w:w="2849"/>
        <w:gridCol w:w="337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1" w:hRule="atLeast"/>
          <w:tblHeader/>
          <w:jc w:val="center"/>
        </w:trPr>
        <w:tc>
          <w:tcPr>
            <w:tcW w:w="2302" w:type="dxa"/>
            <w:vAlign w:val="center"/>
          </w:tcPr>
          <w:p>
            <w:pPr>
              <w:ind w:left="0" w:leftChars="0" w:firstLine="0" w:firstLineChars="0"/>
              <w:jc w:val="center"/>
              <w:rPr>
                <w:color w:val="auto"/>
              </w:rPr>
            </w:pPr>
            <w:r>
              <w:rPr>
                <w:rFonts w:hint="eastAsia" w:ascii="宋体" w:hAnsi="宋体" w:eastAsia="宋体"/>
                <w:b/>
                <w:color w:val="auto"/>
                <w:sz w:val="21"/>
                <w:szCs w:val="21"/>
              </w:rPr>
              <w:t>类别</w:t>
            </w:r>
          </w:p>
        </w:tc>
        <w:tc>
          <w:tcPr>
            <w:tcW w:w="2849" w:type="dxa"/>
            <w:vAlign w:val="center"/>
          </w:tcPr>
          <w:p>
            <w:pPr>
              <w:jc w:val="center"/>
              <w:rPr>
                <w:color w:val="auto"/>
              </w:rPr>
            </w:pPr>
            <w:r>
              <w:rPr>
                <w:rFonts w:hint="eastAsia" w:ascii="宋体" w:hAnsi="宋体" w:eastAsia="宋体"/>
                <w:b/>
                <w:color w:val="auto"/>
                <w:sz w:val="21"/>
                <w:szCs w:val="21"/>
              </w:rPr>
              <w:t>总面积（平方米）</w:t>
            </w:r>
          </w:p>
        </w:tc>
        <w:tc>
          <w:tcPr>
            <w:tcW w:w="3371" w:type="dxa"/>
            <w:vAlign w:val="center"/>
          </w:tcPr>
          <w:p>
            <w:pPr>
              <w:jc w:val="center"/>
              <w:rPr>
                <w:color w:val="auto"/>
              </w:rPr>
            </w:pPr>
            <w:r>
              <w:rPr>
                <w:rFonts w:hint="eastAsia" w:ascii="宋体" w:hAnsi="宋体" w:eastAsia="宋体"/>
                <w:b/>
                <w:color w:val="auto"/>
                <w:sz w:val="21"/>
                <w:szCs w:val="21"/>
              </w:rPr>
              <w:t>生均面积（平方米）</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1" w:hRule="atLeast"/>
          <w:jc w:val="center"/>
        </w:trPr>
        <w:tc>
          <w:tcPr>
            <w:tcW w:w="2302" w:type="dxa"/>
            <w:vAlign w:val="center"/>
          </w:tcPr>
          <w:p>
            <w:pPr>
              <w:ind w:left="0" w:leftChars="0" w:firstLine="0" w:firstLineChars="0"/>
              <w:jc w:val="center"/>
              <w:rPr>
                <w:color w:val="auto"/>
              </w:rPr>
            </w:pPr>
            <w:r>
              <w:rPr>
                <w:rFonts w:hint="eastAsia" w:ascii="宋体" w:hAnsi="宋体" w:eastAsia="宋体"/>
                <w:b/>
                <w:color w:val="auto"/>
                <w:sz w:val="21"/>
                <w:szCs w:val="21"/>
              </w:rPr>
              <w:t>占地面积</w:t>
            </w:r>
          </w:p>
        </w:tc>
        <w:tc>
          <w:tcPr>
            <w:tcW w:w="2849" w:type="dxa"/>
            <w:vAlign w:val="center"/>
          </w:tcPr>
          <w:p>
            <w:pPr>
              <w:jc w:val="center"/>
              <w:rPr>
                <w:rFonts w:hint="default" w:eastAsiaTheme="minorEastAsia"/>
                <w:i w:val="0"/>
                <w:iCs w:val="0"/>
                <w:color w:val="auto"/>
                <w:u w:val="none"/>
                <w:lang w:val="en-US" w:eastAsia="zh-CN"/>
              </w:rPr>
            </w:pPr>
            <w:r>
              <w:rPr>
                <w:rFonts w:hint="eastAsia"/>
                <w:i w:val="0"/>
                <w:iCs w:val="0"/>
                <w:color w:val="auto"/>
                <w:u w:val="none"/>
                <w:lang w:val="en-US" w:eastAsia="zh-CN"/>
              </w:rPr>
              <w:t>1923413.80</w:t>
            </w:r>
          </w:p>
        </w:tc>
        <w:tc>
          <w:tcPr>
            <w:tcW w:w="3371" w:type="dxa"/>
            <w:vAlign w:val="center"/>
          </w:tcPr>
          <w:p>
            <w:pPr>
              <w:jc w:val="center"/>
              <w:rPr>
                <w:i w:val="0"/>
                <w:iCs w:val="0"/>
                <w:color w:val="auto"/>
                <w:u w:val="none"/>
              </w:rPr>
            </w:pPr>
            <w:r>
              <w:rPr>
                <w:rFonts w:hint="eastAsia" w:ascii="宋体" w:hAnsi="宋体" w:eastAsia="宋体"/>
                <w:i w:val="0"/>
                <w:iCs w:val="0"/>
                <w:color w:val="auto"/>
                <w:sz w:val="24"/>
                <w:szCs w:val="24"/>
                <w:u w:val="none"/>
                <w:lang w:val="en-US" w:eastAsia="zh-CN"/>
              </w:rPr>
              <w:t>60.89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1" w:hRule="atLeast"/>
          <w:jc w:val="center"/>
        </w:trPr>
        <w:tc>
          <w:tcPr>
            <w:tcW w:w="2302" w:type="dxa"/>
            <w:vAlign w:val="center"/>
          </w:tcPr>
          <w:p>
            <w:pPr>
              <w:ind w:left="0" w:leftChars="0" w:firstLine="0" w:firstLineChars="0"/>
              <w:jc w:val="center"/>
              <w:rPr>
                <w:color w:val="auto"/>
              </w:rPr>
            </w:pPr>
            <w:r>
              <w:rPr>
                <w:rFonts w:hint="eastAsia" w:ascii="宋体" w:hAnsi="宋体" w:eastAsia="宋体"/>
                <w:b/>
                <w:color w:val="auto"/>
                <w:sz w:val="21"/>
                <w:szCs w:val="21"/>
              </w:rPr>
              <w:t>建筑面积</w:t>
            </w:r>
          </w:p>
        </w:tc>
        <w:tc>
          <w:tcPr>
            <w:tcW w:w="2849" w:type="dxa"/>
            <w:vAlign w:val="center"/>
          </w:tcPr>
          <w:p>
            <w:pPr>
              <w:jc w:val="center"/>
              <w:rPr>
                <w:i w:val="0"/>
                <w:iCs w:val="0"/>
                <w:color w:val="auto"/>
                <w:u w:val="none"/>
              </w:rPr>
            </w:pPr>
            <w:r>
              <w:rPr>
                <w:rFonts w:hint="eastAsia" w:ascii="宋体" w:hAnsi="宋体" w:eastAsia="宋体"/>
                <w:i w:val="0"/>
                <w:iCs w:val="0"/>
                <w:color w:val="auto"/>
                <w:sz w:val="24"/>
                <w:szCs w:val="24"/>
                <w:u w:val="none"/>
                <w:lang w:val="en-US" w:eastAsia="zh-CN"/>
              </w:rPr>
              <w:t>1711713.80</w:t>
            </w:r>
          </w:p>
        </w:tc>
        <w:tc>
          <w:tcPr>
            <w:tcW w:w="3371" w:type="dxa"/>
            <w:vAlign w:val="center"/>
          </w:tcPr>
          <w:p>
            <w:pPr>
              <w:jc w:val="center"/>
              <w:rPr>
                <w:i w:val="0"/>
                <w:iCs w:val="0"/>
                <w:color w:val="auto"/>
                <w:u w:val="none"/>
              </w:rPr>
            </w:pPr>
            <w:r>
              <w:rPr>
                <w:rFonts w:hint="eastAsia" w:ascii="宋体" w:hAnsi="宋体" w:eastAsia="宋体"/>
                <w:i w:val="0"/>
                <w:iCs w:val="0"/>
                <w:color w:val="auto"/>
                <w:sz w:val="24"/>
                <w:szCs w:val="24"/>
                <w:u w:val="none"/>
                <w:lang w:val="en-US" w:eastAsia="zh-CN"/>
              </w:rPr>
              <w:t>54.19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1" w:hRule="atLeast"/>
          <w:jc w:val="center"/>
        </w:trPr>
        <w:tc>
          <w:tcPr>
            <w:tcW w:w="2302" w:type="dxa"/>
            <w:vAlign w:val="center"/>
          </w:tcPr>
          <w:p>
            <w:pPr>
              <w:ind w:left="0" w:leftChars="0" w:firstLine="0" w:firstLineChars="0"/>
              <w:jc w:val="center"/>
              <w:rPr>
                <w:color w:val="auto"/>
              </w:rPr>
            </w:pPr>
            <w:r>
              <w:rPr>
                <w:rFonts w:hint="eastAsia" w:ascii="宋体" w:hAnsi="宋体" w:eastAsia="宋体"/>
                <w:b/>
                <w:color w:val="auto"/>
                <w:sz w:val="21"/>
                <w:szCs w:val="21"/>
              </w:rPr>
              <w:t>教学行政用房面积</w:t>
            </w:r>
          </w:p>
        </w:tc>
        <w:tc>
          <w:tcPr>
            <w:tcW w:w="2849" w:type="dxa"/>
            <w:vAlign w:val="center"/>
          </w:tcPr>
          <w:p>
            <w:pPr>
              <w:jc w:val="center"/>
              <w:rPr>
                <w:i w:val="0"/>
                <w:iCs w:val="0"/>
                <w:color w:val="auto"/>
                <w:u w:val="none"/>
              </w:rPr>
            </w:pPr>
            <w:r>
              <w:rPr>
                <w:rFonts w:hint="eastAsia" w:ascii="宋体" w:hAnsi="宋体" w:eastAsia="宋体"/>
                <w:i w:val="0"/>
                <w:iCs w:val="0"/>
                <w:color w:val="auto"/>
                <w:sz w:val="24"/>
                <w:szCs w:val="24"/>
                <w:u w:val="none"/>
                <w:lang w:val="en-US" w:eastAsia="zh-CN"/>
              </w:rPr>
              <w:t>884191.56</w:t>
            </w:r>
          </w:p>
        </w:tc>
        <w:tc>
          <w:tcPr>
            <w:tcW w:w="3371" w:type="dxa"/>
            <w:vAlign w:val="center"/>
          </w:tcPr>
          <w:p>
            <w:pPr>
              <w:jc w:val="center"/>
              <w:rPr>
                <w:i w:val="0"/>
                <w:iCs w:val="0"/>
                <w:color w:val="auto"/>
                <w:u w:val="none"/>
              </w:rPr>
            </w:pPr>
            <w:r>
              <w:rPr>
                <w:rFonts w:hint="eastAsia" w:ascii="宋体" w:hAnsi="宋体" w:eastAsia="宋体"/>
                <w:i w:val="0"/>
                <w:iCs w:val="0"/>
                <w:color w:val="auto"/>
                <w:sz w:val="24"/>
                <w:szCs w:val="24"/>
                <w:u w:val="none"/>
                <w:lang w:val="en-US" w:eastAsia="zh-CN"/>
              </w:rPr>
              <w:t>27.99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1" w:hRule="atLeast"/>
          <w:jc w:val="center"/>
        </w:trPr>
        <w:tc>
          <w:tcPr>
            <w:tcW w:w="2302" w:type="dxa"/>
            <w:vAlign w:val="center"/>
          </w:tcPr>
          <w:p>
            <w:pPr>
              <w:ind w:left="0" w:leftChars="0" w:firstLine="0" w:firstLineChars="0"/>
              <w:jc w:val="center"/>
              <w:rPr>
                <w:color w:val="auto"/>
              </w:rPr>
            </w:pPr>
            <w:r>
              <w:rPr>
                <w:rFonts w:hint="eastAsia" w:ascii="宋体" w:hAnsi="宋体" w:eastAsia="宋体"/>
                <w:b/>
                <w:color w:val="auto"/>
                <w:sz w:val="21"/>
                <w:szCs w:val="21"/>
              </w:rPr>
              <w:t>实验、实习场所面积</w:t>
            </w:r>
          </w:p>
        </w:tc>
        <w:tc>
          <w:tcPr>
            <w:tcW w:w="2849" w:type="dxa"/>
            <w:vAlign w:val="center"/>
          </w:tcPr>
          <w:p>
            <w:pPr>
              <w:jc w:val="center"/>
              <w:rPr>
                <w:i w:val="0"/>
                <w:iCs w:val="0"/>
                <w:color w:val="auto"/>
                <w:u w:val="none"/>
              </w:rPr>
            </w:pPr>
            <w:r>
              <w:rPr>
                <w:rFonts w:hint="eastAsia" w:ascii="宋体" w:hAnsi="宋体" w:eastAsia="宋体"/>
                <w:i w:val="0"/>
                <w:iCs w:val="0"/>
                <w:color w:val="auto"/>
                <w:sz w:val="24"/>
                <w:szCs w:val="24"/>
                <w:u w:val="none"/>
                <w:lang w:val="en-US" w:eastAsia="zh-CN"/>
              </w:rPr>
              <w:t>294413.01</w:t>
            </w:r>
          </w:p>
        </w:tc>
        <w:tc>
          <w:tcPr>
            <w:tcW w:w="3371" w:type="dxa"/>
            <w:vAlign w:val="center"/>
          </w:tcPr>
          <w:p>
            <w:pPr>
              <w:jc w:val="center"/>
              <w:rPr>
                <w:i w:val="0"/>
                <w:iCs w:val="0"/>
                <w:color w:val="auto"/>
                <w:u w:val="none"/>
              </w:rPr>
            </w:pPr>
            <w:r>
              <w:rPr>
                <w:rFonts w:hint="eastAsia" w:ascii="宋体" w:hAnsi="宋体" w:eastAsia="宋体"/>
                <w:i w:val="0"/>
                <w:iCs w:val="0"/>
                <w:color w:val="auto"/>
                <w:sz w:val="24"/>
                <w:szCs w:val="24"/>
                <w:u w:val="none"/>
                <w:lang w:val="en-US" w:eastAsia="zh-CN"/>
              </w:rPr>
              <w:t>9.32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1" w:hRule="atLeast"/>
          <w:jc w:val="center"/>
        </w:trPr>
        <w:tc>
          <w:tcPr>
            <w:tcW w:w="2302" w:type="dxa"/>
            <w:vAlign w:val="center"/>
          </w:tcPr>
          <w:p>
            <w:pPr>
              <w:ind w:left="0" w:leftChars="0" w:firstLine="0" w:firstLineChars="0"/>
              <w:jc w:val="center"/>
              <w:rPr>
                <w:color w:val="auto"/>
              </w:rPr>
            </w:pPr>
            <w:r>
              <w:rPr>
                <w:rFonts w:hint="eastAsia" w:ascii="宋体" w:hAnsi="宋体" w:eastAsia="宋体"/>
                <w:b/>
                <w:color w:val="auto"/>
                <w:sz w:val="21"/>
                <w:szCs w:val="21"/>
              </w:rPr>
              <w:t>体育馆面积</w:t>
            </w:r>
          </w:p>
        </w:tc>
        <w:tc>
          <w:tcPr>
            <w:tcW w:w="2849" w:type="dxa"/>
            <w:vAlign w:val="center"/>
          </w:tcPr>
          <w:p>
            <w:pPr>
              <w:jc w:val="center"/>
              <w:rPr>
                <w:color w:val="auto"/>
                <w:u w:val="none"/>
              </w:rPr>
            </w:pPr>
            <w:r>
              <w:rPr>
                <w:rFonts w:hint="eastAsia" w:ascii="宋体" w:hAnsi="宋体" w:eastAsia="宋体"/>
                <w:color w:val="auto"/>
                <w:sz w:val="24"/>
                <w:szCs w:val="24"/>
                <w:u w:val="none"/>
                <w:lang w:val="en-US" w:eastAsia="zh-CN"/>
              </w:rPr>
              <w:t>79098.8</w:t>
            </w:r>
          </w:p>
        </w:tc>
        <w:tc>
          <w:tcPr>
            <w:tcW w:w="3371" w:type="dxa"/>
            <w:vAlign w:val="center"/>
          </w:tcPr>
          <w:p>
            <w:pPr>
              <w:jc w:val="center"/>
              <w:rPr>
                <w:color w:val="auto"/>
                <w:u w:val="none"/>
              </w:rPr>
            </w:pPr>
            <w:r>
              <w:rPr>
                <w:rFonts w:hint="eastAsia" w:ascii="宋体" w:hAnsi="宋体" w:eastAsia="宋体"/>
                <w:color w:val="auto"/>
                <w:sz w:val="24"/>
                <w:szCs w:val="24"/>
                <w:u w:val="none"/>
                <w:lang w:val="en-US" w:eastAsia="zh-CN"/>
              </w:rPr>
              <w:t>2.50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1" w:hRule="atLeast"/>
          <w:jc w:val="center"/>
        </w:trPr>
        <w:tc>
          <w:tcPr>
            <w:tcW w:w="2302" w:type="dxa"/>
            <w:vAlign w:val="center"/>
          </w:tcPr>
          <w:p>
            <w:pPr>
              <w:ind w:left="0" w:leftChars="0" w:firstLine="0" w:firstLineChars="0"/>
              <w:jc w:val="center"/>
              <w:rPr>
                <w:color w:val="auto"/>
              </w:rPr>
            </w:pPr>
            <w:r>
              <w:rPr>
                <w:rFonts w:hint="eastAsia" w:ascii="宋体" w:hAnsi="宋体" w:eastAsia="宋体"/>
                <w:b/>
                <w:color w:val="auto"/>
                <w:sz w:val="21"/>
                <w:szCs w:val="21"/>
              </w:rPr>
              <w:t>运动场面积</w:t>
            </w:r>
          </w:p>
        </w:tc>
        <w:tc>
          <w:tcPr>
            <w:tcW w:w="2849" w:type="dxa"/>
            <w:vAlign w:val="center"/>
          </w:tcPr>
          <w:p>
            <w:pPr>
              <w:jc w:val="center"/>
              <w:rPr>
                <w:color w:val="auto"/>
                <w:u w:val="none"/>
              </w:rPr>
            </w:pPr>
            <w:r>
              <w:rPr>
                <w:rFonts w:hint="eastAsia" w:ascii="宋体" w:hAnsi="宋体" w:eastAsia="宋体"/>
                <w:color w:val="auto"/>
                <w:sz w:val="24"/>
                <w:szCs w:val="24"/>
                <w:u w:val="none"/>
                <w:lang w:val="en-US" w:eastAsia="zh-CN"/>
              </w:rPr>
              <w:t>135357.21</w:t>
            </w:r>
          </w:p>
        </w:tc>
        <w:tc>
          <w:tcPr>
            <w:tcW w:w="3371" w:type="dxa"/>
            <w:vAlign w:val="center"/>
          </w:tcPr>
          <w:p>
            <w:pPr>
              <w:jc w:val="center"/>
              <w:rPr>
                <w:color w:val="auto"/>
                <w:u w:val="none"/>
              </w:rPr>
            </w:pPr>
            <w:r>
              <w:rPr>
                <w:rFonts w:hint="eastAsia" w:ascii="宋体" w:hAnsi="宋体" w:eastAsia="宋体"/>
                <w:color w:val="auto"/>
                <w:sz w:val="24"/>
                <w:szCs w:val="24"/>
                <w:u w:val="none"/>
                <w:lang w:val="en-US" w:eastAsia="zh-CN"/>
              </w:rPr>
              <w:t>4.28</w:t>
            </w:r>
          </w:p>
        </w:tc>
      </w:tr>
    </w:tbl>
    <w:p>
      <w:pPr>
        <w:spacing w:after="156" w:afterLines="50"/>
        <w:ind w:firstLine="480"/>
        <w:rPr>
          <w:rFonts w:hint="eastAsia" w:ascii="宋体" w:hAnsi="宋体" w:cs="宋体"/>
          <w:color w:val="auto"/>
        </w:rPr>
      </w:pPr>
    </w:p>
    <w:p>
      <w:pPr>
        <w:pStyle w:val="4"/>
        <w:rPr>
          <w:rFonts w:hint="default" w:ascii="黑体" w:hAnsi="黑体" w:cs="黑体"/>
          <w:color w:val="auto"/>
          <w:lang w:val="en-US" w:eastAsia="zh-CN"/>
        </w:rPr>
      </w:pPr>
      <w:bookmarkStart w:id="77" w:name="_Toc6499"/>
      <w:r>
        <w:rPr>
          <w:rFonts w:hint="eastAsia" w:ascii="黑体" w:hAnsi="黑体" w:cs="黑体"/>
          <w:color w:val="auto"/>
          <w:lang w:val="en-US" w:eastAsia="zh-CN"/>
        </w:rPr>
        <w:t>2.教学实验室与教学科研仪器设备</w:t>
      </w:r>
      <w:bookmarkEnd w:id="77"/>
    </w:p>
    <w:p>
      <w:pPr>
        <w:spacing w:after="156" w:afterLines="50"/>
        <w:ind w:firstLine="480"/>
        <w:rPr>
          <w:rFonts w:ascii="黑体" w:hAnsi="黑体" w:cs="黑体"/>
          <w:color w:val="auto"/>
        </w:rPr>
      </w:pPr>
      <w:r>
        <w:rPr>
          <w:rFonts w:hint="eastAsia" w:ascii="宋体" w:hAnsi="宋体" w:cs="宋体"/>
          <w:color w:val="auto"/>
        </w:rPr>
        <w:t>学校共建有</w:t>
      </w:r>
      <w:r>
        <w:rPr>
          <w:rFonts w:hint="eastAsia" w:ascii="宋体" w:hAnsi="宋体" w:cs="宋体"/>
          <w:color w:val="auto"/>
          <w:lang w:val="en-US" w:eastAsia="zh-CN"/>
        </w:rPr>
        <w:t>791</w:t>
      </w:r>
      <w:r>
        <w:rPr>
          <w:rFonts w:hint="eastAsia" w:ascii="宋体" w:hAnsi="宋体" w:cs="宋体"/>
          <w:color w:val="auto"/>
        </w:rPr>
        <w:t>个本科实验</w:t>
      </w:r>
      <w:r>
        <w:rPr>
          <w:rFonts w:hint="eastAsia" w:ascii="宋体" w:hAnsi="宋体" w:cs="宋体"/>
          <w:color w:val="auto"/>
          <w:lang w:val="en-US" w:eastAsia="zh-CN"/>
        </w:rPr>
        <w:t>实训</w:t>
      </w:r>
      <w:r>
        <w:rPr>
          <w:rFonts w:hint="eastAsia" w:ascii="宋体" w:hAnsi="宋体" w:cs="宋体"/>
          <w:color w:val="auto"/>
        </w:rPr>
        <w:t>教学场所，其中基础实验室</w:t>
      </w:r>
      <w:r>
        <w:rPr>
          <w:rFonts w:hint="eastAsia" w:ascii="宋体" w:hAnsi="宋体" w:cs="宋体"/>
          <w:color w:val="auto"/>
          <w:lang w:val="en-US" w:eastAsia="zh-CN"/>
        </w:rPr>
        <w:t>165</w:t>
      </w:r>
      <w:r>
        <w:rPr>
          <w:rFonts w:hint="eastAsia" w:ascii="宋体" w:hAnsi="宋体" w:cs="宋体"/>
          <w:color w:val="auto"/>
        </w:rPr>
        <w:t>间、实习实训场所201间、专业实验场所</w:t>
      </w:r>
      <w:r>
        <w:rPr>
          <w:rFonts w:hint="eastAsia" w:ascii="宋体" w:hAnsi="宋体" w:cs="宋体"/>
          <w:color w:val="auto"/>
          <w:lang w:val="en-US" w:eastAsia="zh-CN"/>
        </w:rPr>
        <w:t>395</w:t>
      </w:r>
      <w:r>
        <w:rPr>
          <w:rFonts w:hint="eastAsia" w:ascii="宋体" w:hAnsi="宋体" w:cs="宋体"/>
          <w:color w:val="auto"/>
        </w:rPr>
        <w:t>间、其他实验场所</w:t>
      </w:r>
      <w:r>
        <w:rPr>
          <w:rFonts w:hint="eastAsia" w:ascii="宋体" w:hAnsi="宋体" w:cs="宋体"/>
          <w:color w:val="auto"/>
          <w:lang w:val="en-US" w:eastAsia="zh-CN"/>
        </w:rPr>
        <w:t>30</w:t>
      </w:r>
      <w:r>
        <w:rPr>
          <w:rFonts w:hint="eastAsia" w:ascii="宋体" w:hAnsi="宋体" w:cs="宋体"/>
          <w:color w:val="auto"/>
        </w:rPr>
        <w:t>间，总面积达</w:t>
      </w:r>
      <w:r>
        <w:rPr>
          <w:rFonts w:hint="eastAsia" w:ascii="宋体" w:hAnsi="宋体" w:cs="宋体"/>
          <w:color w:val="auto"/>
          <w:lang w:val="en-US" w:eastAsia="zh-CN"/>
        </w:rPr>
        <w:t>84297.45</w:t>
      </w:r>
      <w:r>
        <w:rPr>
          <w:rFonts w:hint="eastAsia" w:ascii="宋体" w:hAnsi="宋体" w:cs="宋体"/>
          <w:color w:val="auto"/>
        </w:rPr>
        <w:t>㎡；</w:t>
      </w:r>
      <w:r>
        <w:rPr>
          <w:rFonts w:hint="eastAsia" w:ascii="宋体" w:hAnsi="宋体" w:cs="宋体"/>
          <w:color w:val="auto"/>
          <w:lang w:val="en-US" w:eastAsia="zh-CN"/>
        </w:rPr>
        <w:t>拥有</w:t>
      </w:r>
      <w:r>
        <w:rPr>
          <w:rFonts w:hint="eastAsia" w:ascii="宋体" w:hAnsi="宋体" w:cs="宋体"/>
          <w:color w:val="auto"/>
        </w:rPr>
        <w:t>国家级实验教学中心</w:t>
      </w:r>
      <w:r>
        <w:rPr>
          <w:rFonts w:hint="eastAsia" w:ascii="宋体" w:hAnsi="宋体" w:cs="宋体"/>
          <w:color w:val="auto"/>
          <w:lang w:val="en-US" w:eastAsia="zh-CN"/>
        </w:rPr>
        <w:t>1</w:t>
      </w:r>
      <w:r>
        <w:rPr>
          <w:rFonts w:hint="eastAsia" w:ascii="宋体" w:hAnsi="宋体" w:cs="宋体"/>
          <w:color w:val="auto"/>
        </w:rPr>
        <w:t>个，省部级实验教学中心</w:t>
      </w:r>
      <w:r>
        <w:rPr>
          <w:rFonts w:hint="eastAsia" w:ascii="宋体" w:hAnsi="宋体" w:cs="宋体"/>
          <w:color w:val="auto"/>
          <w:lang w:val="en-US" w:eastAsia="zh-CN"/>
        </w:rPr>
        <w:t>14</w:t>
      </w:r>
      <w:r>
        <w:rPr>
          <w:rFonts w:hint="eastAsia" w:ascii="宋体" w:hAnsi="宋体" w:cs="宋体"/>
          <w:color w:val="auto"/>
        </w:rPr>
        <w:t>个，国家级虚拟仿真实验教学中心</w:t>
      </w:r>
      <w:r>
        <w:rPr>
          <w:rFonts w:hint="eastAsia" w:ascii="宋体" w:hAnsi="宋体" w:cs="宋体"/>
          <w:color w:val="auto"/>
          <w:lang w:val="en-US" w:eastAsia="zh-CN"/>
        </w:rPr>
        <w:t>1</w:t>
      </w:r>
      <w:r>
        <w:rPr>
          <w:rFonts w:hint="eastAsia" w:ascii="宋体" w:hAnsi="宋体" w:cs="宋体"/>
          <w:color w:val="auto"/>
        </w:rPr>
        <w:t>个;国家级虚拟仿真实验教学项目</w:t>
      </w:r>
      <w:r>
        <w:rPr>
          <w:rFonts w:hint="eastAsia" w:ascii="宋体" w:hAnsi="宋体" w:cs="宋体"/>
          <w:color w:val="auto"/>
          <w:lang w:val="en-US" w:eastAsia="zh-CN"/>
        </w:rPr>
        <w:t>4</w:t>
      </w:r>
      <w:r>
        <w:rPr>
          <w:rFonts w:hint="eastAsia" w:ascii="宋体" w:hAnsi="宋体" w:cs="宋体"/>
          <w:color w:val="auto"/>
        </w:rPr>
        <w:t>个，省部级虚拟仿真实验教学项目</w:t>
      </w:r>
      <w:r>
        <w:rPr>
          <w:rFonts w:hint="eastAsia" w:ascii="宋体" w:hAnsi="宋体" w:cs="宋体"/>
          <w:color w:val="auto"/>
          <w:lang w:val="en-US" w:eastAsia="zh-CN"/>
        </w:rPr>
        <w:t>36</w:t>
      </w:r>
      <w:r>
        <w:rPr>
          <w:rFonts w:hint="eastAsia" w:ascii="宋体" w:hAnsi="宋体" w:cs="宋体"/>
          <w:color w:val="auto"/>
        </w:rPr>
        <w:t>个，有效保障了实验实训教学和科研工作的开展。</w:t>
      </w:r>
    </w:p>
    <w:p>
      <w:pPr>
        <w:spacing w:after="156" w:afterLines="50"/>
        <w:ind w:firstLine="480"/>
        <w:rPr>
          <w:rFonts w:hint="eastAsia" w:ascii="宋体" w:hAnsi="宋体" w:cs="宋体"/>
          <w:color w:val="auto"/>
        </w:rPr>
      </w:pPr>
      <w:r>
        <w:rPr>
          <w:rFonts w:hint="eastAsia" w:ascii="宋体" w:hAnsi="宋体" w:cs="宋体"/>
          <w:color w:val="auto"/>
        </w:rPr>
        <w:t>学校现有教学、科研仪器设备资产总值</w:t>
      </w:r>
      <w:r>
        <w:rPr>
          <w:rFonts w:hint="eastAsia" w:ascii="宋体" w:hAnsi="宋体" w:cs="宋体"/>
          <w:color w:val="auto"/>
          <w:lang w:val="en-US" w:eastAsia="zh-CN"/>
        </w:rPr>
        <w:t>10.89</w:t>
      </w:r>
      <w:r>
        <w:rPr>
          <w:rFonts w:hint="eastAsia" w:ascii="宋体" w:hAnsi="宋体" w:cs="宋体"/>
          <w:color w:val="auto"/>
        </w:rPr>
        <w:t>亿元，生均教学科研仪器设备值</w:t>
      </w:r>
      <w:r>
        <w:rPr>
          <w:rFonts w:hint="eastAsia" w:ascii="宋体" w:hAnsi="宋体" w:cs="宋体"/>
          <w:color w:val="auto"/>
          <w:lang w:val="en-US" w:eastAsia="zh-CN"/>
        </w:rPr>
        <w:t>2.97</w:t>
      </w:r>
      <w:r>
        <w:rPr>
          <w:rFonts w:hint="eastAsia" w:ascii="宋体" w:hAnsi="宋体" w:cs="宋体"/>
          <w:color w:val="auto"/>
        </w:rPr>
        <w:t>万元。当年新增教学科研仪器设备值</w:t>
      </w:r>
      <w:r>
        <w:rPr>
          <w:rFonts w:hint="eastAsia" w:ascii="宋体" w:hAnsi="宋体" w:cs="宋体"/>
          <w:color w:val="auto"/>
          <w:lang w:val="en-US" w:eastAsia="zh-CN"/>
        </w:rPr>
        <w:t>6048.8</w:t>
      </w:r>
      <w:r>
        <w:rPr>
          <w:rFonts w:hint="eastAsia" w:ascii="宋体" w:hAnsi="宋体" w:cs="宋体"/>
          <w:color w:val="auto"/>
        </w:rPr>
        <w:t>万元，新增值达到教学科研仪器设备总值的</w:t>
      </w:r>
      <w:r>
        <w:rPr>
          <w:rFonts w:hint="eastAsia" w:ascii="宋体" w:hAnsi="宋体" w:cs="宋体"/>
          <w:color w:val="auto"/>
          <w:lang w:val="en-US" w:eastAsia="zh-CN"/>
        </w:rPr>
        <w:t>5.88</w:t>
      </w:r>
      <w:r>
        <w:rPr>
          <w:rFonts w:hint="eastAsia" w:ascii="宋体" w:hAnsi="宋体" w:cs="宋体"/>
          <w:color w:val="auto"/>
        </w:rPr>
        <w:t>%。</w:t>
      </w:r>
    </w:p>
    <w:p>
      <w:pPr>
        <w:spacing w:after="156" w:afterLines="50"/>
        <w:ind w:firstLine="480"/>
        <w:rPr>
          <w:rFonts w:hint="eastAsia" w:ascii="宋体" w:hAnsi="宋体" w:cs="宋体"/>
          <w:color w:val="auto"/>
        </w:rPr>
      </w:pPr>
      <w:r>
        <w:rPr>
          <w:rFonts w:hint="eastAsia" w:ascii="宋体" w:hAnsi="宋体" w:cs="宋体"/>
          <w:color w:val="auto"/>
        </w:rPr>
        <w:t>本科教学实验仪器设备</w:t>
      </w:r>
      <w:r>
        <w:rPr>
          <w:rFonts w:hint="eastAsia" w:ascii="宋体" w:hAnsi="宋体" w:cs="宋体"/>
          <w:color w:val="auto"/>
          <w:lang w:val="en-US" w:eastAsia="zh-CN"/>
        </w:rPr>
        <w:t>19278</w:t>
      </w:r>
      <w:r>
        <w:rPr>
          <w:rFonts w:hint="eastAsia" w:ascii="宋体" w:hAnsi="宋体" w:cs="宋体"/>
          <w:color w:val="auto"/>
        </w:rPr>
        <w:t>台（套），合计总值</w:t>
      </w:r>
      <w:r>
        <w:rPr>
          <w:rFonts w:hint="eastAsia" w:ascii="宋体" w:hAnsi="宋体" w:cs="宋体"/>
          <w:color w:val="auto"/>
          <w:lang w:val="en-US" w:eastAsia="zh-CN"/>
        </w:rPr>
        <w:t>2.399</w:t>
      </w:r>
      <w:r>
        <w:rPr>
          <w:rFonts w:hint="eastAsia" w:ascii="宋体" w:hAnsi="宋体" w:cs="宋体"/>
          <w:color w:val="auto"/>
        </w:rPr>
        <w:t>亿元，其中单价10万元以上的实验仪器设备</w:t>
      </w:r>
      <w:r>
        <w:rPr>
          <w:rFonts w:hint="eastAsia" w:ascii="宋体" w:hAnsi="宋体" w:cs="宋体"/>
          <w:color w:val="auto"/>
          <w:lang w:val="en-US" w:eastAsia="zh-CN"/>
        </w:rPr>
        <w:t>288</w:t>
      </w:r>
      <w:r>
        <w:rPr>
          <w:rFonts w:hint="eastAsia" w:ascii="宋体" w:hAnsi="宋体" w:cs="宋体"/>
          <w:color w:val="auto"/>
        </w:rPr>
        <w:t>台（套），总值</w:t>
      </w:r>
      <w:r>
        <w:rPr>
          <w:rFonts w:hint="eastAsia" w:ascii="宋体" w:hAnsi="宋体" w:cs="宋体"/>
          <w:color w:val="auto"/>
          <w:lang w:val="en-US" w:eastAsia="zh-CN"/>
        </w:rPr>
        <w:t>9556.80</w:t>
      </w:r>
      <w:r>
        <w:rPr>
          <w:rFonts w:hint="eastAsia" w:ascii="宋体" w:hAnsi="宋体" w:cs="宋体"/>
          <w:color w:val="auto"/>
        </w:rPr>
        <w:t>万元，按本科在校生</w:t>
      </w:r>
      <w:r>
        <w:rPr>
          <w:rFonts w:hint="eastAsia" w:ascii="宋体" w:hAnsi="宋体" w:cs="宋体"/>
          <w:color w:val="auto"/>
          <w:lang w:val="en-US" w:eastAsia="zh-CN"/>
        </w:rPr>
        <w:t>25239</w:t>
      </w:r>
      <w:r>
        <w:rPr>
          <w:rFonts w:hint="eastAsia" w:ascii="宋体" w:hAnsi="宋体" w:cs="宋体"/>
          <w:color w:val="auto"/>
        </w:rPr>
        <w:t>人计算，本科生均实验仪器设备值</w:t>
      </w:r>
      <w:r>
        <w:rPr>
          <w:rFonts w:hint="eastAsia" w:ascii="宋体" w:hAnsi="宋体" w:cs="宋体"/>
          <w:color w:val="auto"/>
          <w:lang w:val="en-US" w:eastAsia="zh-CN"/>
        </w:rPr>
        <w:t>9506.82</w:t>
      </w:r>
      <w:r>
        <w:rPr>
          <w:rFonts w:hint="eastAsia" w:ascii="宋体" w:hAnsi="宋体" w:cs="宋体"/>
          <w:color w:val="auto"/>
        </w:rPr>
        <w:t>元。</w:t>
      </w:r>
    </w:p>
    <w:p>
      <w:pPr>
        <w:pStyle w:val="4"/>
        <w:rPr>
          <w:rFonts w:ascii="黑体" w:hAnsi="黑体" w:cs="黑体"/>
          <w:color w:val="auto"/>
        </w:rPr>
      </w:pPr>
      <w:bookmarkStart w:id="78" w:name="_Toc88218422"/>
      <w:bookmarkStart w:id="79" w:name="_Toc15338"/>
      <w:bookmarkStart w:id="80" w:name="_Toc53"/>
      <w:bookmarkStart w:id="81" w:name="_Toc89702801"/>
      <w:bookmarkStart w:id="82" w:name="_Toc28698"/>
      <w:bookmarkStart w:id="83" w:name="_Toc501116670"/>
      <w:r>
        <w:rPr>
          <w:rFonts w:hint="eastAsia" w:ascii="黑体" w:hAnsi="黑体" w:cs="黑体"/>
          <w:color w:val="auto"/>
          <w:lang w:val="en-US" w:eastAsia="zh-CN"/>
        </w:rPr>
        <w:t>3.</w:t>
      </w:r>
      <w:r>
        <w:rPr>
          <w:rFonts w:hint="eastAsia" w:ascii="黑体" w:hAnsi="黑体" w:cs="黑体"/>
          <w:color w:val="auto"/>
        </w:rPr>
        <w:t>图书</w:t>
      </w:r>
      <w:r>
        <w:rPr>
          <w:rFonts w:hint="eastAsia" w:ascii="黑体" w:hAnsi="黑体" w:cs="黑体"/>
          <w:color w:val="auto"/>
          <w:lang w:val="en-US" w:eastAsia="zh-CN"/>
        </w:rPr>
        <w:t>馆及图书资源</w:t>
      </w:r>
      <w:bookmarkEnd w:id="78"/>
      <w:bookmarkEnd w:id="79"/>
      <w:bookmarkEnd w:id="80"/>
      <w:bookmarkEnd w:id="81"/>
      <w:bookmarkEnd w:id="82"/>
    </w:p>
    <w:p>
      <w:pPr>
        <w:ind w:firstLine="480"/>
        <w:rPr>
          <w:rFonts w:ascii="宋体" w:hAnsi="宋体" w:cs="宋体"/>
          <w:color w:val="auto"/>
        </w:rPr>
      </w:pPr>
      <w:r>
        <w:rPr>
          <w:rFonts w:hint="eastAsia" w:ascii="宋体" w:hAnsi="宋体" w:cs="宋体"/>
          <w:color w:val="auto"/>
        </w:rPr>
        <w:t>学校有校本部总馆（仓前）、下沙分馆和玉皇山分馆共3个图书馆，总面积达到</w:t>
      </w:r>
      <w:r>
        <w:rPr>
          <w:rFonts w:hint="eastAsia" w:ascii="宋体" w:hAnsi="宋体" w:eastAsia="宋体"/>
          <w:color w:val="auto"/>
          <w:sz w:val="24"/>
          <w:szCs w:val="24"/>
          <w:u w:val="none"/>
          <w:lang w:val="en-US" w:eastAsia="zh-CN"/>
        </w:rPr>
        <w:t>73333.41</w:t>
      </w:r>
      <w:r>
        <w:rPr>
          <w:rFonts w:hint="eastAsia" w:ascii="宋体" w:hAnsi="宋体" w:cs="宋体"/>
          <w:color w:val="auto"/>
        </w:rPr>
        <w:t>㎡，普通阅览座位</w:t>
      </w:r>
      <w:r>
        <w:rPr>
          <w:rFonts w:hint="eastAsia" w:ascii="宋体" w:hAnsi="宋体" w:eastAsia="宋体"/>
          <w:color w:val="auto"/>
          <w:sz w:val="24"/>
          <w:szCs w:val="24"/>
          <w:u w:val="none"/>
          <w:lang w:val="en-US" w:eastAsia="zh-CN"/>
        </w:rPr>
        <w:t>10513</w:t>
      </w:r>
      <w:r>
        <w:rPr>
          <w:rFonts w:hint="eastAsia" w:ascii="宋体" w:hAnsi="宋体" w:cs="宋体"/>
          <w:color w:val="auto"/>
        </w:rPr>
        <w:t>个。图书馆的流通阅览实行全开架，网上电子数字资源每天24小时开放。图书馆拥有纸质图书</w:t>
      </w:r>
      <w:r>
        <w:rPr>
          <w:rFonts w:hint="eastAsia" w:ascii="宋体" w:hAnsi="宋体" w:cs="宋体"/>
          <w:color w:val="auto"/>
          <w:lang w:val="en-US" w:eastAsia="zh-CN"/>
        </w:rPr>
        <w:t>328.60</w:t>
      </w:r>
      <w:r>
        <w:rPr>
          <w:rFonts w:hint="eastAsia" w:ascii="宋体" w:hAnsi="宋体" w:cs="宋体"/>
          <w:color w:val="auto"/>
        </w:rPr>
        <w:t>万册，当年新增</w:t>
      </w:r>
      <w:r>
        <w:rPr>
          <w:rFonts w:hint="eastAsia" w:ascii="宋体" w:hAnsi="宋体" w:cs="宋体"/>
          <w:color w:val="auto"/>
          <w:lang w:val="en-US" w:eastAsia="zh-CN"/>
        </w:rPr>
        <w:t>104031.0</w:t>
      </w:r>
      <w:r>
        <w:rPr>
          <w:rFonts w:hint="eastAsia" w:ascii="宋体" w:hAnsi="宋体" w:cs="宋体"/>
          <w:color w:val="auto"/>
        </w:rPr>
        <w:t>册，生均纸质图书</w:t>
      </w:r>
      <w:r>
        <w:rPr>
          <w:rFonts w:hint="eastAsia" w:ascii="宋体" w:hAnsi="宋体" w:cs="宋体"/>
          <w:color w:val="auto"/>
          <w:lang w:val="en-US" w:eastAsia="zh-CN"/>
        </w:rPr>
        <w:t>89.77</w:t>
      </w:r>
      <w:r>
        <w:rPr>
          <w:rFonts w:hint="eastAsia" w:ascii="宋体" w:hAnsi="宋体" w:cs="宋体"/>
          <w:color w:val="auto"/>
        </w:rPr>
        <w:t>册；拥有电子期刊</w:t>
      </w:r>
      <w:r>
        <w:rPr>
          <w:rFonts w:hint="eastAsia" w:ascii="宋体" w:hAnsi="宋体" w:cs="宋体"/>
          <w:color w:val="auto"/>
          <w:lang w:val="en-US" w:eastAsia="zh-CN"/>
        </w:rPr>
        <w:t>250.00</w:t>
      </w:r>
      <w:r>
        <w:rPr>
          <w:rFonts w:hint="eastAsia" w:ascii="宋体" w:hAnsi="宋体" w:cs="宋体"/>
          <w:color w:val="auto"/>
        </w:rPr>
        <w:t>万册，学位论文</w:t>
      </w:r>
      <w:r>
        <w:rPr>
          <w:rFonts w:hint="eastAsia" w:ascii="宋体" w:hAnsi="宋体" w:cs="宋体"/>
          <w:color w:val="auto"/>
          <w:lang w:val="en-US" w:eastAsia="zh-CN"/>
        </w:rPr>
        <w:t>702.26</w:t>
      </w:r>
      <w:r>
        <w:rPr>
          <w:rFonts w:hint="eastAsia" w:ascii="宋体" w:hAnsi="宋体" w:cs="宋体"/>
          <w:color w:val="auto"/>
        </w:rPr>
        <w:t>万册，音视频</w:t>
      </w:r>
      <w:r>
        <w:rPr>
          <w:rFonts w:hint="eastAsia" w:ascii="宋体" w:hAnsi="宋体" w:cs="宋体"/>
          <w:color w:val="auto"/>
          <w:lang w:val="en-US" w:eastAsia="zh-CN"/>
        </w:rPr>
        <w:t>186965.0</w:t>
      </w:r>
      <w:r>
        <w:rPr>
          <w:rFonts w:hint="eastAsia" w:ascii="宋体" w:hAnsi="宋体" w:cs="宋体"/>
          <w:color w:val="auto"/>
        </w:rPr>
        <w:t>小时。</w:t>
      </w:r>
      <w:r>
        <w:rPr>
          <w:rFonts w:hint="eastAsia" w:ascii="宋体" w:hAnsi="宋体" w:cs="宋体"/>
          <w:color w:val="auto"/>
          <w:lang w:val="en-US" w:eastAsia="zh-CN"/>
        </w:rPr>
        <w:t>2022</w:t>
      </w:r>
      <w:r>
        <w:rPr>
          <w:rFonts w:hint="eastAsia" w:ascii="宋体" w:hAnsi="宋体" w:cs="宋体"/>
          <w:color w:val="auto"/>
        </w:rPr>
        <w:t>年图书流通量达到</w:t>
      </w:r>
      <w:r>
        <w:rPr>
          <w:rFonts w:hint="eastAsia" w:ascii="宋体" w:hAnsi="宋体" w:cs="宋体"/>
          <w:color w:val="auto"/>
          <w:lang w:val="en-US" w:eastAsia="zh-CN"/>
        </w:rPr>
        <w:t>10.49</w:t>
      </w:r>
      <w:r>
        <w:rPr>
          <w:rFonts w:hint="eastAsia" w:ascii="宋体" w:hAnsi="宋体" w:cs="宋体"/>
          <w:color w:val="auto"/>
        </w:rPr>
        <w:t>万本册，电子资源访问量</w:t>
      </w:r>
      <w:r>
        <w:rPr>
          <w:rFonts w:hint="eastAsia" w:ascii="宋体" w:hAnsi="宋体" w:cs="宋体"/>
          <w:color w:val="auto"/>
          <w:lang w:val="en-US" w:eastAsia="zh-CN"/>
        </w:rPr>
        <w:t>3109.68</w:t>
      </w:r>
      <w:r>
        <w:rPr>
          <w:rFonts w:hint="eastAsia" w:ascii="宋体" w:hAnsi="宋体" w:cs="宋体"/>
          <w:color w:val="auto"/>
        </w:rPr>
        <w:t>万次，当年电子资源下载量</w:t>
      </w:r>
      <w:r>
        <w:rPr>
          <w:rFonts w:hint="eastAsia" w:ascii="宋体" w:hAnsi="宋体" w:cs="宋体"/>
          <w:color w:val="auto"/>
          <w:lang w:val="en-US" w:eastAsia="zh-CN"/>
        </w:rPr>
        <w:t>2060.75</w:t>
      </w:r>
      <w:r>
        <w:rPr>
          <w:rFonts w:hint="eastAsia" w:ascii="宋体" w:hAnsi="宋体" w:cs="宋体"/>
          <w:color w:val="auto"/>
        </w:rPr>
        <w:t>万篇次。</w:t>
      </w:r>
    </w:p>
    <w:p>
      <w:pPr>
        <w:pStyle w:val="4"/>
        <w:rPr>
          <w:rFonts w:ascii="黑体" w:hAnsi="黑体" w:cs="黑体"/>
          <w:color w:val="auto"/>
        </w:rPr>
      </w:pPr>
      <w:bookmarkStart w:id="84" w:name="_Toc5981"/>
      <w:bookmarkStart w:id="85" w:name="_Toc88218423"/>
      <w:bookmarkStart w:id="86" w:name="_Toc89702802"/>
      <w:bookmarkStart w:id="87" w:name="_Toc4775"/>
      <w:bookmarkStart w:id="88" w:name="_Toc25557"/>
      <w:r>
        <w:rPr>
          <w:rFonts w:hint="eastAsia" w:ascii="黑体" w:hAnsi="黑体" w:cs="黑体"/>
          <w:color w:val="auto"/>
          <w:lang w:val="en-US" w:eastAsia="zh-CN"/>
        </w:rPr>
        <w:t>4.</w:t>
      </w:r>
      <w:r>
        <w:rPr>
          <w:rFonts w:hint="eastAsia" w:ascii="黑体" w:hAnsi="黑体" w:cs="黑体"/>
          <w:color w:val="auto"/>
        </w:rPr>
        <w:t>信息资源</w:t>
      </w:r>
      <w:bookmarkEnd w:id="83"/>
      <w:bookmarkEnd w:id="84"/>
      <w:bookmarkEnd w:id="85"/>
      <w:bookmarkEnd w:id="86"/>
      <w:bookmarkEnd w:id="87"/>
      <w:bookmarkEnd w:id="88"/>
    </w:p>
    <w:p>
      <w:pPr>
        <w:ind w:firstLine="480"/>
        <w:rPr>
          <w:rFonts w:ascii="宋体" w:hAnsi="宋体" w:cs="宋体"/>
          <w:color w:val="auto"/>
        </w:rPr>
      </w:pPr>
      <w:r>
        <w:rPr>
          <w:rFonts w:hint="eastAsia" w:ascii="宋体" w:hAnsi="宋体" w:cs="宋体"/>
          <w:color w:val="auto"/>
        </w:rPr>
        <w:t>学校致力于打造“</w:t>
      </w:r>
      <w:r>
        <w:rPr>
          <w:rFonts w:hint="eastAsia" w:ascii="宋体" w:hAnsi="宋体" w:cs="宋体"/>
          <w:color w:val="auto"/>
          <w:lang w:val="en-US" w:eastAsia="zh-CN"/>
        </w:rPr>
        <w:t>数</w:t>
      </w:r>
      <w:r>
        <w:rPr>
          <w:rFonts w:hint="eastAsia" w:ascii="宋体" w:hAnsi="宋体" w:cs="宋体"/>
          <w:color w:val="auto"/>
        </w:rPr>
        <w:t>智校园”，建立了高标准的中心机房，实现了校园有线、无线网络全覆盖，主干带宽已达万兆，校园网出口带宽拓展至5G，各校区间双链路冗余互联，开通学术资源国际互联网出口专线服务。学校基于融合、共享的原则，建立了数据管理、统一身份认证、网上办事与信息公开、校园卡等30余个应用平台与系统，其中直接应用于教学的有10多个；</w:t>
      </w:r>
      <w:r>
        <w:rPr>
          <w:rFonts w:hint="eastAsia" w:ascii="宋体" w:hAnsi="宋体" w:cs="宋体"/>
          <w:color w:val="auto"/>
          <w:lang w:val="en-US" w:eastAsia="zh-CN"/>
        </w:rPr>
        <w:t>以</w:t>
      </w:r>
      <w:r>
        <w:rPr>
          <w:rFonts w:hint="eastAsia" w:ascii="宋体" w:hAnsi="宋体" w:cs="宋体"/>
          <w:color w:val="auto"/>
        </w:rPr>
        <w:t>智慧校园APP微门户</w:t>
      </w:r>
      <w:r>
        <w:rPr>
          <w:rFonts w:hint="eastAsia" w:ascii="宋体" w:hAnsi="宋体" w:cs="宋体"/>
          <w:color w:val="auto"/>
          <w:lang w:val="en-US" w:eastAsia="zh-CN"/>
        </w:rPr>
        <w:t>为重点</w:t>
      </w:r>
      <w:r>
        <w:rPr>
          <w:rFonts w:hint="eastAsia" w:ascii="宋体" w:hAnsi="宋体" w:cs="宋体"/>
          <w:color w:val="auto"/>
          <w:lang w:eastAsia="zh-CN"/>
        </w:rPr>
        <w:t>，</w:t>
      </w:r>
      <w:r>
        <w:rPr>
          <w:rFonts w:hint="eastAsia" w:ascii="宋体" w:hAnsi="宋体" w:cs="宋体"/>
          <w:color w:val="auto"/>
          <w:lang w:val="en-US" w:eastAsia="zh-CN"/>
        </w:rPr>
        <w:t>进一步</w:t>
      </w:r>
      <w:r>
        <w:rPr>
          <w:rFonts w:hint="eastAsia" w:ascii="宋体" w:hAnsi="宋体" w:cs="宋体"/>
          <w:color w:val="auto"/>
        </w:rPr>
        <w:t>破除数据壁垒，打通教学、科研、学科等业务流、决策流、执行流，实现</w:t>
      </w:r>
      <w:r>
        <w:rPr>
          <w:rFonts w:hint="eastAsia" w:ascii="宋体" w:hAnsi="宋体" w:cs="宋体"/>
          <w:color w:val="auto"/>
          <w:lang w:eastAsia="zh-CN"/>
        </w:rPr>
        <w:t>“</w:t>
      </w:r>
      <w:r>
        <w:rPr>
          <w:rFonts w:hint="eastAsia" w:ascii="宋体" w:hAnsi="宋体" w:cs="宋体"/>
          <w:color w:val="auto"/>
        </w:rPr>
        <w:t>多码合一</w:t>
      </w:r>
      <w:r>
        <w:rPr>
          <w:rFonts w:hint="eastAsia" w:ascii="宋体" w:hAnsi="宋体" w:cs="宋体"/>
          <w:color w:val="auto"/>
          <w:lang w:eastAsia="zh-CN"/>
        </w:rPr>
        <w:t>”</w:t>
      </w:r>
      <w:r>
        <w:rPr>
          <w:rFonts w:hint="eastAsia" w:ascii="宋体" w:hAnsi="宋体" w:cs="宋体"/>
          <w:color w:val="auto"/>
        </w:rPr>
        <w:t>，建立全新的“师大e码通”应用。</w:t>
      </w:r>
      <w:r>
        <w:rPr>
          <w:rFonts w:hint="eastAsia" w:ascii="宋体" w:hAnsi="宋体" w:cs="宋体"/>
          <w:color w:val="auto"/>
          <w:lang w:val="en-US" w:eastAsia="zh-CN"/>
        </w:rPr>
        <w:t>持续推进“智慧思政”“</w:t>
      </w:r>
      <w:r>
        <w:rPr>
          <w:rFonts w:hint="eastAsia" w:ascii="宋体" w:hAnsi="宋体" w:cs="宋体"/>
          <w:color w:val="auto"/>
        </w:rPr>
        <w:t>智慧管理</w:t>
      </w:r>
      <w:r>
        <w:rPr>
          <w:rFonts w:hint="eastAsia" w:ascii="宋体" w:hAnsi="宋体" w:cs="宋体"/>
          <w:color w:val="auto"/>
          <w:lang w:val="en-US" w:eastAsia="zh-CN"/>
        </w:rPr>
        <w:t>”等应用场景建设，推进“图智校园”数字驾驶舱建设。</w:t>
      </w:r>
      <w:r>
        <w:rPr>
          <w:rFonts w:hint="eastAsia" w:ascii="宋体" w:hAnsi="宋体" w:cs="宋体"/>
          <w:color w:val="auto"/>
        </w:rPr>
        <w:t>积极探索推进慕课教学平台建设，以学生为中心集成网络教学资源、教学活动、学习社区、自主考试等，实现教学门户与图书馆、专业资源库、精品课程、AI 技术、实验室等校内外资源的整合，促进以创新为导向的教育教学改革。</w:t>
      </w:r>
    </w:p>
    <w:p>
      <w:pPr>
        <w:pStyle w:val="2"/>
        <w:rPr>
          <w:color w:val="auto"/>
        </w:rPr>
      </w:pPr>
      <w:bookmarkStart w:id="89" w:name="_Toc25795"/>
      <w:bookmarkStart w:id="90" w:name="_Toc88219331"/>
      <w:bookmarkStart w:id="91" w:name="_Toc88218424"/>
      <w:bookmarkStart w:id="92" w:name="_Toc89702803"/>
      <w:bookmarkStart w:id="93" w:name="_Toc32309"/>
      <w:bookmarkStart w:id="94" w:name="_Toc11504"/>
      <w:r>
        <w:rPr>
          <w:rFonts w:hint="eastAsia"/>
          <w:color w:val="auto"/>
          <w:lang w:val="en-US" w:eastAsia="zh-CN"/>
        </w:rPr>
        <w:t>三、</w:t>
      </w:r>
      <w:r>
        <w:rPr>
          <w:rFonts w:hint="eastAsia"/>
          <w:color w:val="auto"/>
        </w:rPr>
        <w:t>教学建设与改革</w:t>
      </w:r>
      <w:bookmarkEnd w:id="89"/>
      <w:bookmarkEnd w:id="90"/>
      <w:bookmarkEnd w:id="91"/>
      <w:bookmarkEnd w:id="92"/>
      <w:bookmarkEnd w:id="93"/>
      <w:bookmarkEnd w:id="94"/>
    </w:p>
    <w:p>
      <w:pPr>
        <w:pStyle w:val="3"/>
        <w:spacing w:before="156" w:after="156"/>
        <w:rPr>
          <w:rFonts w:ascii="黑体" w:hAnsi="黑体" w:eastAsia="黑体"/>
          <w:color w:val="auto"/>
          <w:sz w:val="28"/>
        </w:rPr>
      </w:pPr>
      <w:bookmarkStart w:id="95" w:name="_Toc89702804"/>
      <w:bookmarkStart w:id="96" w:name="_Toc5507"/>
      <w:bookmarkStart w:id="97" w:name="_Toc16986"/>
      <w:bookmarkStart w:id="98" w:name="_Toc11292"/>
      <w:bookmarkStart w:id="99" w:name="_Toc88219332"/>
      <w:bookmarkStart w:id="100" w:name="_Toc88218425"/>
      <w:r>
        <w:rPr>
          <w:rFonts w:hint="eastAsia" w:ascii="黑体" w:hAnsi="黑体" w:eastAsia="黑体"/>
          <w:color w:val="auto"/>
          <w:sz w:val="28"/>
          <w:lang w:eastAsia="zh-CN"/>
        </w:rPr>
        <w:t>（一）</w:t>
      </w:r>
      <w:r>
        <w:rPr>
          <w:rFonts w:hint="eastAsia" w:ascii="黑体" w:hAnsi="黑体" w:eastAsia="黑体"/>
          <w:color w:val="auto"/>
          <w:sz w:val="28"/>
        </w:rPr>
        <w:t>专业建设</w:t>
      </w:r>
      <w:bookmarkEnd w:id="95"/>
      <w:bookmarkEnd w:id="96"/>
      <w:bookmarkEnd w:id="97"/>
      <w:bookmarkEnd w:id="98"/>
      <w:bookmarkEnd w:id="99"/>
      <w:bookmarkEnd w:id="100"/>
    </w:p>
    <w:p>
      <w:pPr>
        <w:ind w:firstLine="480"/>
        <w:rPr>
          <w:rFonts w:hint="eastAsia" w:ascii="宋体" w:hAnsi="宋体" w:cs="宋体"/>
          <w:color w:val="auto"/>
        </w:rPr>
      </w:pPr>
      <w:r>
        <w:rPr>
          <w:rFonts w:hint="eastAsia" w:ascii="宋体" w:hAnsi="宋体" w:cs="宋体"/>
          <w:color w:val="auto"/>
        </w:rPr>
        <w:t>优化专业结构。根据学校建设“实力强劲、文化厚重、特色鲜明”全国一流大学的办学定位，传承“五育并举，人格为先”的办学传统，</w:t>
      </w:r>
      <w:r>
        <w:rPr>
          <w:rFonts w:hint="eastAsia" w:ascii="宋体" w:hAnsi="宋体" w:cs="宋体"/>
          <w:color w:val="auto"/>
          <w:lang w:val="en-US" w:eastAsia="zh-CN"/>
        </w:rPr>
        <w:t>对接</w:t>
      </w:r>
      <w:r>
        <w:rPr>
          <w:rFonts w:hint="eastAsia" w:ascii="宋体" w:hAnsi="宋体" w:cs="宋体"/>
          <w:color w:val="auto"/>
        </w:rPr>
        <w:t>区域经济社会发展的需要，通过每年减少招生指标、调整专业方向等手段，改、停10个专业。</w:t>
      </w:r>
    </w:p>
    <w:p>
      <w:pPr>
        <w:ind w:firstLine="480"/>
        <w:rPr>
          <w:rFonts w:hint="eastAsia" w:ascii="宋体" w:hAnsi="宋体" w:cs="宋体"/>
          <w:color w:val="auto"/>
        </w:rPr>
      </w:pPr>
      <w:r>
        <w:rPr>
          <w:rFonts w:hint="eastAsia" w:ascii="宋体" w:hAnsi="宋体" w:cs="宋体"/>
          <w:color w:val="auto"/>
        </w:rPr>
        <w:t>强化专业内涵。学校按照新工科、新文科、新医科等“四新”建设要求，主动布局生物医药及生命健康、数字经济、前沿新材料、人工智能等战略性新兴产业的相关专业，建立工学院，</w:t>
      </w:r>
      <w:r>
        <w:rPr>
          <w:rFonts w:hint="eastAsia" w:ascii="宋体" w:hAnsi="宋体" w:cs="宋体"/>
          <w:color w:val="auto"/>
          <w:lang w:val="en-US" w:eastAsia="zh-CN"/>
        </w:rPr>
        <w:t>本学年开始招生。</w:t>
      </w:r>
      <w:r>
        <w:rPr>
          <w:rFonts w:hint="eastAsia" w:ascii="宋体" w:hAnsi="宋体" w:cs="宋体"/>
          <w:color w:val="auto"/>
        </w:rPr>
        <w:t>大力推进人才培养模式改革，深化“校企、校政、校校”合作，创新“</w:t>
      </w:r>
      <w:r>
        <w:rPr>
          <w:rFonts w:ascii="宋体" w:hAnsi="宋体" w:cs="宋体"/>
          <w:color w:val="auto"/>
        </w:rPr>
        <w:t>U-G-S”和</w:t>
      </w:r>
      <w:r>
        <w:rPr>
          <w:rFonts w:hint="eastAsia" w:ascii="宋体" w:hAnsi="宋体" w:cs="宋体"/>
          <w:color w:val="auto"/>
        </w:rPr>
        <w:t>校企协同育人新机制；推进“通识教育、专业培养、多元发展”融合培养，满足学生个性化、多元化成长需求；深化拔尖创新人才培养模式改革，探索本硕一体化人才培养，着力在教师教育、人文艺术、生物医药、数字经济等领域打造优势特色学科和专业群。目前，学校有国家一流本科专业建设点</w:t>
      </w:r>
      <w:r>
        <w:rPr>
          <w:rFonts w:ascii="宋体" w:hAnsi="宋体" w:cs="宋体"/>
          <w:color w:val="auto"/>
        </w:rPr>
        <w:t>27</w:t>
      </w:r>
      <w:r>
        <w:rPr>
          <w:rFonts w:hint="eastAsia" w:ascii="宋体" w:hAnsi="宋体" w:cs="宋体"/>
          <w:color w:val="auto"/>
        </w:rPr>
        <w:t>个、省级一流本科专业建设点</w:t>
      </w:r>
      <w:r>
        <w:rPr>
          <w:rFonts w:ascii="宋体" w:hAnsi="宋体" w:cs="宋体"/>
          <w:color w:val="auto"/>
        </w:rPr>
        <w:t>16</w:t>
      </w:r>
      <w:r>
        <w:rPr>
          <w:rFonts w:hint="eastAsia" w:ascii="宋体" w:hAnsi="宋体" w:cs="宋体"/>
          <w:color w:val="auto"/>
        </w:rPr>
        <w:t>个。</w:t>
      </w:r>
    </w:p>
    <w:p>
      <w:pPr>
        <w:ind w:firstLine="480"/>
        <w:rPr>
          <w:rFonts w:hint="eastAsia" w:ascii="宋体" w:hAnsi="宋体" w:cs="宋体"/>
          <w:color w:val="auto"/>
        </w:rPr>
      </w:pPr>
      <w:r>
        <w:rPr>
          <w:rFonts w:hint="eastAsia" w:ascii="宋体" w:hAnsi="宋体" w:cs="宋体"/>
          <w:color w:val="auto"/>
        </w:rPr>
        <w:t>完善人才培养方案。学校坚持“以生为本、强化创新、综合培养、追求卓越”的人才培养理念，按照专业类教学质量国家标准以及专业认证标准和要求，以师范类专业和工程教育专业为重点，进一步优化培养方案，明确专业定位、培养目标和毕业要求，将“学生中心、产出导向、持续改进”的理念贯穿于人才培养全过程。重点完善通识教育、专业教育、教师教育等课程体系，强化“培养目标—毕业要求—课程体系”之间的相互支撑。</w:t>
      </w:r>
    </w:p>
    <w:p>
      <w:pPr>
        <w:pStyle w:val="3"/>
        <w:spacing w:before="156" w:after="156"/>
        <w:rPr>
          <w:rFonts w:ascii="黑体" w:hAnsi="黑体" w:eastAsia="黑体"/>
          <w:color w:val="auto"/>
          <w:sz w:val="28"/>
        </w:rPr>
      </w:pPr>
      <w:bookmarkStart w:id="101" w:name="_Toc28821"/>
      <w:bookmarkStart w:id="102" w:name="_Toc88218426"/>
      <w:bookmarkStart w:id="103" w:name="_Toc88219333"/>
      <w:bookmarkStart w:id="104" w:name="_Toc89702805"/>
      <w:bookmarkStart w:id="105" w:name="_Toc26916"/>
      <w:bookmarkStart w:id="106" w:name="_Toc21027"/>
      <w:r>
        <w:rPr>
          <w:rFonts w:hint="eastAsia" w:ascii="黑体" w:hAnsi="黑体" w:eastAsia="黑体"/>
          <w:color w:val="auto"/>
          <w:sz w:val="28"/>
          <w:lang w:eastAsia="zh-CN"/>
        </w:rPr>
        <w:t>（</w:t>
      </w:r>
      <w:r>
        <w:rPr>
          <w:rFonts w:hint="eastAsia" w:ascii="黑体" w:hAnsi="黑体" w:eastAsia="黑体"/>
          <w:color w:val="auto"/>
          <w:sz w:val="28"/>
          <w:lang w:val="en-US" w:eastAsia="zh-CN"/>
        </w:rPr>
        <w:t>二</w:t>
      </w:r>
      <w:r>
        <w:rPr>
          <w:rFonts w:hint="eastAsia" w:ascii="黑体" w:hAnsi="黑体" w:eastAsia="黑体"/>
          <w:color w:val="auto"/>
          <w:sz w:val="28"/>
          <w:lang w:eastAsia="zh-CN"/>
        </w:rPr>
        <w:t>）</w:t>
      </w:r>
      <w:r>
        <w:rPr>
          <w:rFonts w:hint="eastAsia" w:ascii="黑体" w:hAnsi="黑体" w:eastAsia="黑体"/>
          <w:color w:val="auto"/>
          <w:sz w:val="28"/>
        </w:rPr>
        <w:t>课程建设</w:t>
      </w:r>
      <w:bookmarkEnd w:id="101"/>
      <w:bookmarkEnd w:id="102"/>
      <w:bookmarkEnd w:id="103"/>
      <w:bookmarkEnd w:id="104"/>
      <w:bookmarkEnd w:id="105"/>
      <w:bookmarkEnd w:id="106"/>
    </w:p>
    <w:p>
      <w:pPr>
        <w:ind w:firstLine="480"/>
        <w:jc w:val="left"/>
        <w:rPr>
          <w:rFonts w:hint="eastAsia" w:ascii="宋体" w:hAnsi="宋体" w:cs="宋体"/>
          <w:color w:val="auto"/>
        </w:rPr>
      </w:pPr>
      <w:r>
        <w:rPr>
          <w:rFonts w:hint="eastAsia" w:ascii="宋体" w:hAnsi="宋体" w:cs="宋体"/>
          <w:color w:val="auto"/>
        </w:rPr>
        <w:t>加强课程思政建设。学校紧抓教师队伍“主力军”、课程建设“主战场”、课堂教学“主渠道”，全面推进课程思政建设，构建了符合人才成长规律、体现时代要求、彰显杭师大特色的课程思政体系。制定了</w:t>
      </w:r>
      <w:r>
        <w:rPr>
          <w:rFonts w:hint="eastAsia" w:ascii="宋体" w:hAnsi="宋体" w:cs="宋体"/>
          <w:color w:val="auto"/>
          <w:lang w:eastAsia="zh-CN"/>
        </w:rPr>
        <w:t>《关于印发全面推进“大思政课”建设工作方案的通知》</w:t>
      </w:r>
      <w:r>
        <w:rPr>
          <w:rFonts w:hint="eastAsia" w:ascii="宋体" w:hAnsi="宋体" w:cs="宋体"/>
          <w:color w:val="auto"/>
        </w:rPr>
        <w:t>《杭州师范大学课程思政建设实施方案》，要求课程思政建设覆盖到所有院系、学科专业和教师，实现专业教育和思政教育有机融合。紧跟新时代发展需要，面向全体在校学生开设《习近平新时代中国特色社会主义思想概论》通识必修课、“四史教育”专题课程（要求所有在校生至少从“四史”中选修</w:t>
      </w:r>
      <w:r>
        <w:rPr>
          <w:rFonts w:ascii="宋体" w:hAnsi="宋体" w:cs="宋体"/>
          <w:color w:val="auto"/>
        </w:rPr>
        <w:t xml:space="preserve"> 1 </w:t>
      </w:r>
      <w:r>
        <w:rPr>
          <w:rFonts w:hint="eastAsia" w:ascii="宋体" w:hAnsi="宋体" w:cs="宋体"/>
          <w:color w:val="auto"/>
        </w:rPr>
        <w:t>门）；面向所有师范生以及教育学学科学生开设《习近平总书记关于教育的重要论述研究》。</w:t>
      </w:r>
      <w:r>
        <w:rPr>
          <w:rFonts w:hint="eastAsia" w:ascii="宋体" w:hAnsi="宋体" w:cs="宋体"/>
          <w:color w:val="auto"/>
          <w:lang w:val="en-US" w:eastAsia="zh-CN"/>
        </w:rPr>
        <w:t>同时</w:t>
      </w:r>
      <w:r>
        <w:rPr>
          <w:rFonts w:hint="eastAsia" w:ascii="宋体" w:hAnsi="宋体" w:cs="宋体"/>
          <w:color w:val="auto"/>
        </w:rPr>
        <w:t>开展校-省-国家三级课程思政类教学研究项目建设，截至目前，学校共建设30门省级课程思政示范课程，20项省级课程思政教学改革项目，4个省级课程思政示范基层教学组织，1个省级课程思政研究中心，113门校级课程思政示范课堂</w:t>
      </w:r>
      <w:r>
        <w:rPr>
          <w:rFonts w:hint="eastAsia" w:ascii="宋体" w:hAnsi="宋体" w:cs="宋体"/>
          <w:color w:val="auto"/>
          <w:lang w:eastAsia="zh-CN"/>
        </w:rPr>
        <w:t>。</w:t>
      </w:r>
    </w:p>
    <w:p>
      <w:pPr>
        <w:ind w:firstLine="480"/>
        <w:rPr>
          <w:rFonts w:hint="eastAsia" w:ascii="宋体" w:hAnsi="宋体" w:cs="宋体"/>
          <w:color w:val="auto"/>
        </w:rPr>
      </w:pPr>
      <w:r>
        <w:rPr>
          <w:rFonts w:hint="eastAsia" w:ascii="宋体" w:hAnsi="宋体" w:cs="宋体"/>
          <w:color w:val="auto"/>
        </w:rPr>
        <w:t>课程资源不断丰富。学校根据不同类别学科专业的性质、特点和学生的个性需求，为学生自主学习和个性化发展提供丰富立体化的课程资源，较好地满足了学生的学习需求（见表</w:t>
      </w:r>
      <w:r>
        <w:rPr>
          <w:rFonts w:hint="eastAsia" w:ascii="宋体" w:hAnsi="宋体" w:cs="宋体"/>
          <w:color w:val="auto"/>
          <w:lang w:val="en-US" w:eastAsia="zh-CN"/>
        </w:rPr>
        <w:t>4</w:t>
      </w:r>
      <w:r>
        <w:rPr>
          <w:rFonts w:ascii="宋体" w:hAnsi="宋体" w:cs="宋体"/>
          <w:color w:val="auto"/>
        </w:rPr>
        <w:t>）。</w:t>
      </w:r>
      <w:r>
        <w:rPr>
          <w:rFonts w:hint="eastAsia" w:ascii="宋体" w:hAnsi="宋体" w:cs="宋体"/>
          <w:color w:val="auto"/>
        </w:rPr>
        <w:t>本学年，学校共开设本科生公共必修课</w:t>
      </w:r>
      <w:r>
        <w:rPr>
          <w:rFonts w:hint="eastAsia" w:ascii="宋体" w:hAnsi="宋体" w:cs="宋体"/>
          <w:color w:val="auto"/>
          <w:lang w:val="en-US" w:eastAsia="zh-CN"/>
        </w:rPr>
        <w:t>1634门次</w:t>
      </w:r>
      <w:r>
        <w:rPr>
          <w:rFonts w:hint="eastAsia" w:ascii="宋体" w:hAnsi="宋体" w:cs="宋体"/>
          <w:color w:val="auto"/>
        </w:rPr>
        <w:t>、公共选修课</w:t>
      </w:r>
      <w:r>
        <w:rPr>
          <w:rFonts w:hint="eastAsia" w:ascii="宋体" w:hAnsi="宋体" w:cs="宋体"/>
          <w:color w:val="auto"/>
          <w:lang w:val="en-US" w:eastAsia="zh-CN"/>
        </w:rPr>
        <w:t>561门次</w:t>
      </w:r>
      <w:r>
        <w:rPr>
          <w:rFonts w:hint="eastAsia" w:ascii="宋体" w:hAnsi="宋体" w:cs="宋体"/>
          <w:color w:val="auto"/>
        </w:rPr>
        <w:t>、专业课共</w:t>
      </w:r>
      <w:r>
        <w:rPr>
          <w:rFonts w:hint="eastAsia" w:ascii="宋体" w:hAnsi="宋体" w:cs="宋体"/>
          <w:color w:val="auto"/>
          <w:lang w:val="en-US" w:eastAsia="zh-CN"/>
        </w:rPr>
        <w:t>7048</w:t>
      </w:r>
      <w:r>
        <w:rPr>
          <w:rFonts w:hint="eastAsia" w:ascii="宋体" w:hAnsi="宋体" w:cs="宋体"/>
          <w:color w:val="auto"/>
        </w:rPr>
        <w:t>门</w:t>
      </w:r>
      <w:r>
        <w:rPr>
          <w:rFonts w:hint="eastAsia" w:ascii="宋体" w:hAnsi="宋体" w:cs="宋体"/>
          <w:color w:val="auto"/>
          <w:lang w:val="en-US" w:eastAsia="zh-CN"/>
        </w:rPr>
        <w:t>次，共计开课</w:t>
      </w:r>
      <w:r>
        <w:rPr>
          <w:rFonts w:hint="eastAsia" w:ascii="宋体" w:hAnsi="宋体" w:cs="宋体"/>
          <w:color w:val="auto"/>
        </w:rPr>
        <w:t>92</w:t>
      </w:r>
      <w:r>
        <w:rPr>
          <w:rFonts w:hint="eastAsia" w:ascii="宋体" w:hAnsi="宋体" w:cs="宋体"/>
          <w:color w:val="auto"/>
          <w:lang w:val="en-US" w:eastAsia="zh-CN"/>
        </w:rPr>
        <w:t>43</w:t>
      </w:r>
      <w:r>
        <w:rPr>
          <w:rFonts w:hint="eastAsia" w:ascii="宋体" w:hAnsi="宋体" w:cs="宋体"/>
          <w:color w:val="auto"/>
        </w:rPr>
        <w:t>门次。</w:t>
      </w:r>
    </w:p>
    <w:p>
      <w:pPr>
        <w:pStyle w:val="6"/>
        <w:spacing w:before="156" w:beforeLines="50" w:after="156" w:afterLines="50" w:line="240" w:lineRule="auto"/>
        <w:ind w:firstLine="0" w:firstLineChars="0"/>
        <w:jc w:val="center"/>
        <w:rPr>
          <w:rFonts w:hint="eastAsia" w:ascii="宋体" w:hAnsi="宋体" w:eastAsia="宋体" w:cs="Times New Roman"/>
          <w:color w:val="auto"/>
          <w:kern w:val="2"/>
          <w:sz w:val="24"/>
          <w:szCs w:val="24"/>
          <w:lang w:val="en-US" w:eastAsia="zh-CN" w:bidi="ar-SA"/>
        </w:rPr>
      </w:pPr>
      <w:bookmarkStart w:id="107" w:name="_Toc501095220"/>
      <w:bookmarkStart w:id="108" w:name="_Toc88218481"/>
      <w:r>
        <w:rPr>
          <w:rFonts w:hint="eastAsia" w:ascii="宋体" w:hAnsi="宋体" w:eastAsia="宋体" w:cs="Times New Roman"/>
          <w:color w:val="auto"/>
          <w:kern w:val="2"/>
          <w:sz w:val="24"/>
          <w:szCs w:val="24"/>
          <w:lang w:val="en-US" w:eastAsia="zh-CN" w:bidi="ar-SA"/>
        </w:rPr>
        <w:t>表</w:t>
      </w:r>
      <w:bookmarkStart w:id="109" w:name="_Toc18034"/>
      <w:r>
        <w:rPr>
          <w:rFonts w:hint="eastAsia" w:ascii="宋体" w:hAnsi="宋体" w:eastAsia="宋体" w:cs="Times New Roman"/>
          <w:color w:val="auto"/>
          <w:kern w:val="2"/>
          <w:sz w:val="24"/>
          <w:szCs w:val="24"/>
          <w:lang w:val="en-US" w:eastAsia="zh-CN" w:bidi="ar-SA"/>
        </w:rPr>
        <w:t>4 学校开设本科生课程总门次数情况</w:t>
      </w:r>
      <w:bookmarkEnd w:id="107"/>
      <w:bookmarkEnd w:id="108"/>
      <w:bookmarkEnd w:id="109"/>
    </w:p>
    <w:tbl>
      <w:tblPr>
        <w:tblStyle w:val="18"/>
        <w:tblW w:w="4321"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206"/>
        <w:gridCol w:w="315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4206" w:type="dxa"/>
            <w:tcBorders>
              <w:top w:val="single" w:color="auto" w:sz="8" w:space="0"/>
            </w:tcBorders>
            <w:vAlign w:val="center"/>
          </w:tcPr>
          <w:p>
            <w:pPr>
              <w:widowControl/>
              <w:ind w:firstLine="420"/>
              <w:jc w:val="center"/>
              <w:textAlignment w:val="center"/>
              <w:rPr>
                <w:rFonts w:ascii="宋体" w:hAnsi="宋体" w:cs="宋体"/>
                <w:b/>
                <w:bCs/>
                <w:color w:val="auto"/>
                <w:kern w:val="0"/>
                <w:sz w:val="21"/>
                <w:szCs w:val="21"/>
              </w:rPr>
            </w:pPr>
            <w:r>
              <w:rPr>
                <w:rFonts w:hint="eastAsia" w:ascii="宋体" w:hAnsi="宋体" w:cs="宋体"/>
                <w:b/>
                <w:bCs/>
                <w:color w:val="auto"/>
                <w:kern w:val="0"/>
                <w:sz w:val="21"/>
                <w:szCs w:val="21"/>
              </w:rPr>
              <w:t>学期</w:t>
            </w:r>
          </w:p>
        </w:tc>
        <w:tc>
          <w:tcPr>
            <w:tcW w:w="3159" w:type="dxa"/>
            <w:tcBorders>
              <w:top w:val="single" w:color="auto" w:sz="8" w:space="0"/>
            </w:tcBorders>
            <w:vAlign w:val="center"/>
          </w:tcPr>
          <w:p>
            <w:pPr>
              <w:widowControl/>
              <w:ind w:firstLine="420"/>
              <w:jc w:val="center"/>
              <w:textAlignment w:val="center"/>
              <w:rPr>
                <w:rFonts w:ascii="宋体" w:hAnsi="宋体" w:cs="宋体"/>
                <w:b/>
                <w:bCs/>
                <w:color w:val="auto"/>
                <w:kern w:val="0"/>
                <w:sz w:val="21"/>
                <w:szCs w:val="21"/>
              </w:rPr>
            </w:pPr>
            <w:r>
              <w:rPr>
                <w:rFonts w:hint="eastAsia" w:ascii="宋体" w:hAnsi="宋体" w:cs="宋体"/>
                <w:b/>
                <w:bCs/>
                <w:color w:val="auto"/>
                <w:kern w:val="0"/>
                <w:sz w:val="21"/>
                <w:szCs w:val="21"/>
              </w:rPr>
              <w:t>门数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206" w:type="dxa"/>
            <w:vAlign w:val="center"/>
          </w:tcPr>
          <w:p>
            <w:pPr>
              <w:widowControl/>
              <w:ind w:firstLine="420"/>
              <w:jc w:val="center"/>
              <w:textAlignment w:val="center"/>
              <w:rPr>
                <w:rFonts w:ascii="宋体" w:hAnsi="宋体" w:cs="宋体"/>
                <w:b/>
                <w:bCs/>
                <w:color w:val="auto"/>
                <w:kern w:val="0"/>
                <w:sz w:val="21"/>
                <w:szCs w:val="21"/>
              </w:rPr>
            </w:pPr>
            <w:r>
              <w:rPr>
                <w:rFonts w:hint="eastAsia" w:ascii="宋体" w:hAnsi="宋体" w:cs="宋体"/>
                <w:b/>
                <w:bCs/>
                <w:color w:val="auto"/>
                <w:kern w:val="0"/>
                <w:sz w:val="21"/>
                <w:szCs w:val="21"/>
              </w:rPr>
              <w:t>202</w:t>
            </w:r>
            <w:r>
              <w:rPr>
                <w:rFonts w:hint="eastAsia" w:ascii="宋体" w:hAnsi="宋体" w:cs="宋体"/>
                <w:b/>
                <w:bCs/>
                <w:color w:val="auto"/>
                <w:kern w:val="0"/>
                <w:sz w:val="21"/>
                <w:szCs w:val="21"/>
                <w:lang w:val="en-US" w:eastAsia="zh-CN"/>
              </w:rPr>
              <w:t>2</w:t>
            </w:r>
            <w:r>
              <w:rPr>
                <w:rFonts w:hint="eastAsia" w:ascii="宋体" w:hAnsi="宋体" w:cs="宋体"/>
                <w:b/>
                <w:bCs/>
                <w:color w:val="auto"/>
                <w:kern w:val="0"/>
                <w:sz w:val="21"/>
                <w:szCs w:val="21"/>
              </w:rPr>
              <w:t>-202</w:t>
            </w:r>
            <w:r>
              <w:rPr>
                <w:rFonts w:hint="eastAsia" w:ascii="宋体" w:hAnsi="宋体" w:cs="宋体"/>
                <w:b/>
                <w:bCs/>
                <w:color w:val="auto"/>
                <w:kern w:val="0"/>
                <w:sz w:val="21"/>
                <w:szCs w:val="21"/>
                <w:lang w:val="en-US" w:eastAsia="zh-CN"/>
              </w:rPr>
              <w:t>3</w:t>
            </w:r>
            <w:r>
              <w:rPr>
                <w:rFonts w:hint="eastAsia" w:ascii="宋体" w:hAnsi="宋体" w:cs="宋体"/>
                <w:b/>
                <w:bCs/>
                <w:color w:val="auto"/>
                <w:kern w:val="0"/>
                <w:sz w:val="21"/>
                <w:szCs w:val="21"/>
              </w:rPr>
              <w:t>-1</w:t>
            </w:r>
          </w:p>
        </w:tc>
        <w:tc>
          <w:tcPr>
            <w:tcW w:w="3159" w:type="dxa"/>
            <w:vAlign w:val="center"/>
          </w:tcPr>
          <w:p>
            <w:pPr>
              <w:widowControl/>
              <w:ind w:firstLine="420"/>
              <w:jc w:val="center"/>
              <w:textAlignment w:val="center"/>
              <w:rPr>
                <w:rFonts w:hint="default" w:ascii="宋体" w:hAnsi="宋体" w:eastAsia="宋体" w:cs="宋体"/>
                <w:color w:val="auto"/>
                <w:kern w:val="0"/>
                <w:sz w:val="21"/>
                <w:szCs w:val="21"/>
                <w:lang w:val="en-US" w:eastAsia="zh-CN"/>
              </w:rPr>
            </w:pPr>
            <w:r>
              <w:rPr>
                <w:rFonts w:hint="eastAsia" w:ascii="宋体" w:hAnsi="宋体" w:cs="宋体"/>
                <w:color w:val="auto"/>
                <w:kern w:val="0"/>
                <w:sz w:val="21"/>
                <w:szCs w:val="21"/>
                <w:lang w:val="en-US" w:eastAsia="zh-CN"/>
              </w:rPr>
              <w:t>5114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206" w:type="dxa"/>
            <w:vAlign w:val="center"/>
          </w:tcPr>
          <w:p>
            <w:pPr>
              <w:widowControl/>
              <w:ind w:firstLine="420"/>
              <w:jc w:val="center"/>
              <w:textAlignment w:val="center"/>
              <w:rPr>
                <w:rFonts w:ascii="宋体" w:hAnsi="宋体" w:cs="宋体"/>
                <w:b/>
                <w:bCs/>
                <w:color w:val="auto"/>
                <w:kern w:val="0"/>
                <w:sz w:val="21"/>
                <w:szCs w:val="21"/>
              </w:rPr>
            </w:pPr>
            <w:r>
              <w:rPr>
                <w:rFonts w:hint="eastAsia" w:ascii="宋体" w:hAnsi="宋体" w:cs="宋体"/>
                <w:b/>
                <w:bCs/>
                <w:color w:val="auto"/>
                <w:kern w:val="0"/>
                <w:sz w:val="21"/>
                <w:szCs w:val="21"/>
              </w:rPr>
              <w:t>202</w:t>
            </w:r>
            <w:r>
              <w:rPr>
                <w:rFonts w:hint="eastAsia" w:ascii="宋体" w:hAnsi="宋体" w:cs="宋体"/>
                <w:b/>
                <w:bCs/>
                <w:color w:val="auto"/>
                <w:kern w:val="0"/>
                <w:sz w:val="21"/>
                <w:szCs w:val="21"/>
                <w:lang w:val="en-US" w:eastAsia="zh-CN"/>
              </w:rPr>
              <w:t>2</w:t>
            </w:r>
            <w:r>
              <w:rPr>
                <w:rFonts w:hint="eastAsia" w:ascii="宋体" w:hAnsi="宋体" w:cs="宋体"/>
                <w:b/>
                <w:bCs/>
                <w:color w:val="auto"/>
                <w:kern w:val="0"/>
                <w:sz w:val="21"/>
                <w:szCs w:val="21"/>
              </w:rPr>
              <w:t>-202</w:t>
            </w:r>
            <w:r>
              <w:rPr>
                <w:rFonts w:hint="eastAsia" w:ascii="宋体" w:hAnsi="宋体" w:cs="宋体"/>
                <w:b/>
                <w:bCs/>
                <w:color w:val="auto"/>
                <w:kern w:val="0"/>
                <w:sz w:val="21"/>
                <w:szCs w:val="21"/>
                <w:lang w:val="en-US" w:eastAsia="zh-CN"/>
              </w:rPr>
              <w:t>3</w:t>
            </w:r>
            <w:r>
              <w:rPr>
                <w:rFonts w:hint="eastAsia" w:ascii="宋体" w:hAnsi="宋体" w:cs="宋体"/>
                <w:b/>
                <w:bCs/>
                <w:color w:val="auto"/>
                <w:kern w:val="0"/>
                <w:sz w:val="21"/>
                <w:szCs w:val="21"/>
              </w:rPr>
              <w:t>-2</w:t>
            </w:r>
          </w:p>
        </w:tc>
        <w:tc>
          <w:tcPr>
            <w:tcW w:w="3159" w:type="dxa"/>
            <w:vAlign w:val="center"/>
          </w:tcPr>
          <w:p>
            <w:pPr>
              <w:widowControl/>
              <w:ind w:firstLine="420"/>
              <w:jc w:val="center"/>
              <w:textAlignment w:val="center"/>
              <w:rPr>
                <w:rFonts w:hint="default" w:ascii="宋体" w:hAnsi="宋体" w:eastAsia="宋体" w:cs="宋体"/>
                <w:color w:val="auto"/>
                <w:kern w:val="0"/>
                <w:sz w:val="21"/>
                <w:szCs w:val="21"/>
                <w:lang w:val="en-US" w:eastAsia="zh-CN"/>
              </w:rPr>
            </w:pPr>
            <w:r>
              <w:rPr>
                <w:rFonts w:hint="eastAsia" w:ascii="宋体" w:hAnsi="宋体" w:cs="宋体"/>
                <w:color w:val="auto"/>
                <w:kern w:val="0"/>
                <w:sz w:val="21"/>
                <w:szCs w:val="21"/>
                <w:lang w:val="en-US" w:eastAsia="zh-CN"/>
              </w:rPr>
              <w:t>4129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206" w:type="dxa"/>
            <w:vAlign w:val="center"/>
          </w:tcPr>
          <w:p>
            <w:pPr>
              <w:widowControl/>
              <w:ind w:firstLine="420"/>
              <w:jc w:val="center"/>
              <w:textAlignment w:val="center"/>
              <w:rPr>
                <w:rFonts w:ascii="宋体" w:hAnsi="宋体" w:cs="宋体"/>
                <w:b/>
                <w:bCs/>
                <w:color w:val="auto"/>
                <w:kern w:val="0"/>
                <w:sz w:val="21"/>
                <w:szCs w:val="21"/>
              </w:rPr>
            </w:pPr>
            <w:r>
              <w:rPr>
                <w:rFonts w:hint="eastAsia" w:ascii="宋体" w:hAnsi="宋体" w:cs="宋体"/>
                <w:b/>
                <w:bCs/>
                <w:color w:val="auto"/>
                <w:kern w:val="0"/>
                <w:sz w:val="21"/>
                <w:szCs w:val="21"/>
              </w:rPr>
              <w:t>共计</w:t>
            </w:r>
          </w:p>
        </w:tc>
        <w:tc>
          <w:tcPr>
            <w:tcW w:w="3159" w:type="dxa"/>
            <w:vAlign w:val="center"/>
          </w:tcPr>
          <w:p>
            <w:pPr>
              <w:widowControl/>
              <w:ind w:firstLine="420"/>
              <w:jc w:val="center"/>
              <w:textAlignment w:val="center"/>
              <w:rPr>
                <w:rFonts w:hint="default" w:ascii="宋体" w:hAnsi="宋体" w:eastAsia="宋体" w:cs="宋体"/>
                <w:color w:val="auto"/>
                <w:kern w:val="0"/>
                <w:sz w:val="21"/>
                <w:szCs w:val="21"/>
                <w:lang w:val="en-US" w:eastAsia="zh-CN"/>
              </w:rPr>
            </w:pPr>
            <w:r>
              <w:rPr>
                <w:rFonts w:hint="eastAsia" w:ascii="宋体" w:hAnsi="宋体" w:cs="宋体"/>
                <w:color w:val="auto"/>
                <w:kern w:val="0"/>
                <w:sz w:val="21"/>
                <w:szCs w:val="21"/>
                <w:lang w:val="en-US" w:eastAsia="zh-CN"/>
              </w:rPr>
              <w:t>9243</w:t>
            </w:r>
          </w:p>
        </w:tc>
      </w:tr>
    </w:tbl>
    <w:p>
      <w:pPr>
        <w:ind w:firstLine="480"/>
        <w:rPr>
          <w:rFonts w:ascii="宋体" w:hAnsi="宋体" w:cs="宋体"/>
          <w:color w:val="auto"/>
        </w:rPr>
      </w:pPr>
      <w:r>
        <w:rPr>
          <w:rFonts w:hint="eastAsia" w:ascii="宋体" w:hAnsi="宋体" w:cs="宋体"/>
          <w:color w:val="auto"/>
        </w:rPr>
        <w:t>课程质量不断提升。学校围绕“五类金课”建设，加大优质课程培育力度，</w:t>
      </w:r>
      <w:r>
        <w:rPr>
          <w:rFonts w:ascii="宋体" w:hAnsi="宋体" w:cs="宋体"/>
          <w:color w:val="auto"/>
        </w:rPr>
        <w:t>推进线上教学和混合式教学改革，有效促进名师名课、特色课程、网络课程等优质课程建设。学校现有国家级一流本科课程</w:t>
      </w:r>
      <w:r>
        <w:rPr>
          <w:rFonts w:hint="eastAsia" w:ascii="宋体" w:hAnsi="宋体" w:cs="宋体"/>
          <w:color w:val="auto"/>
          <w:highlight w:val="none"/>
          <w:lang w:val="en-US" w:eastAsia="zh-CN"/>
        </w:rPr>
        <w:t>13</w:t>
      </w:r>
      <w:r>
        <w:rPr>
          <w:rFonts w:ascii="宋体" w:hAnsi="宋体" w:cs="宋体"/>
          <w:color w:val="auto"/>
          <w:highlight w:val="none"/>
        </w:rPr>
        <w:t>门</w:t>
      </w:r>
      <w:r>
        <w:rPr>
          <w:rFonts w:hint="eastAsia" w:ascii="宋体" w:hAnsi="宋体" w:cs="宋体"/>
          <w:color w:val="auto"/>
        </w:rPr>
        <w:t>，省级一流课程161门</w:t>
      </w:r>
      <w:r>
        <w:rPr>
          <w:rFonts w:ascii="宋体" w:hAnsi="宋体" w:cs="宋体"/>
          <w:color w:val="auto"/>
        </w:rPr>
        <w:t>。</w:t>
      </w:r>
    </w:p>
    <w:p>
      <w:pPr>
        <w:pStyle w:val="3"/>
        <w:spacing w:before="156" w:after="156"/>
        <w:rPr>
          <w:rFonts w:ascii="黑体" w:hAnsi="黑体" w:eastAsia="黑体"/>
          <w:color w:val="auto"/>
          <w:sz w:val="28"/>
        </w:rPr>
      </w:pPr>
      <w:bookmarkStart w:id="110" w:name="_Toc12014"/>
      <w:bookmarkStart w:id="111" w:name="_Toc88219334"/>
      <w:bookmarkStart w:id="112" w:name="_Toc89702806"/>
      <w:bookmarkStart w:id="113" w:name="_Toc21512"/>
      <w:bookmarkStart w:id="114" w:name="_Toc3211"/>
      <w:bookmarkStart w:id="115" w:name="_Toc88218427"/>
      <w:r>
        <w:rPr>
          <w:rFonts w:hint="eastAsia" w:ascii="黑体" w:hAnsi="黑体" w:eastAsia="黑体"/>
          <w:color w:val="auto"/>
          <w:sz w:val="28"/>
          <w:lang w:eastAsia="zh-CN"/>
        </w:rPr>
        <w:t>（</w:t>
      </w:r>
      <w:r>
        <w:rPr>
          <w:rFonts w:hint="eastAsia" w:ascii="黑体" w:hAnsi="黑体" w:eastAsia="黑体"/>
          <w:color w:val="auto"/>
          <w:sz w:val="28"/>
          <w:lang w:val="en-US" w:eastAsia="zh-CN"/>
        </w:rPr>
        <w:t>三</w:t>
      </w:r>
      <w:r>
        <w:rPr>
          <w:rFonts w:hint="eastAsia" w:ascii="黑体" w:hAnsi="黑体" w:eastAsia="黑体"/>
          <w:color w:val="auto"/>
          <w:sz w:val="28"/>
          <w:lang w:eastAsia="zh-CN"/>
        </w:rPr>
        <w:t>）</w:t>
      </w:r>
      <w:r>
        <w:rPr>
          <w:rFonts w:hint="eastAsia" w:ascii="黑体" w:hAnsi="黑体" w:eastAsia="黑体"/>
          <w:color w:val="auto"/>
          <w:sz w:val="28"/>
        </w:rPr>
        <w:t>教材建设</w:t>
      </w:r>
      <w:bookmarkEnd w:id="110"/>
      <w:bookmarkEnd w:id="111"/>
      <w:bookmarkEnd w:id="112"/>
      <w:bookmarkEnd w:id="113"/>
      <w:bookmarkEnd w:id="114"/>
      <w:bookmarkEnd w:id="115"/>
    </w:p>
    <w:p>
      <w:pPr>
        <w:ind w:firstLine="480"/>
        <w:rPr>
          <w:rFonts w:ascii="宋体" w:hAnsi="宋体" w:cs="宋体"/>
          <w:color w:val="auto"/>
        </w:rPr>
      </w:pPr>
      <w:r>
        <w:rPr>
          <w:rFonts w:hint="eastAsia" w:ascii="宋体" w:hAnsi="宋体" w:cs="宋体"/>
          <w:color w:val="auto"/>
          <w:lang w:val="en-US" w:eastAsia="zh-CN"/>
        </w:rPr>
        <w:t>严把教材选用关。学校成立教材工作领导小组，坚持教材“凡编必审”“凡选必审”，</w:t>
      </w:r>
      <w:r>
        <w:rPr>
          <w:rFonts w:ascii="宋体" w:hAnsi="宋体" w:cs="宋体"/>
          <w:color w:val="auto"/>
        </w:rPr>
        <w:t>实行教材常态化审核</w:t>
      </w:r>
      <w:r>
        <w:rPr>
          <w:rFonts w:hint="eastAsia" w:ascii="宋体" w:hAnsi="宋体" w:cs="宋体"/>
          <w:color w:val="auto"/>
        </w:rPr>
        <w:t>。严格执行教材选用管理办法，优先选用马工程重点教材、国家规划教材、教育部“面向</w:t>
      </w:r>
      <w:r>
        <w:rPr>
          <w:rFonts w:ascii="宋体" w:hAnsi="宋体" w:cs="宋体"/>
          <w:color w:val="auto"/>
        </w:rPr>
        <w:t>21世纪”课程教材、省重点教材或获省级以上奖励的教材等优秀教材。思想政治理论课做到使用马克思主义理论研究和建设工程重点教材全覆盖；人文社科类相关通识课程和专业课程也要求选用马工程重点教材；要求做到尽量选用近三年内出版的、列入国家教材征订目录的优秀教材。</w:t>
      </w:r>
    </w:p>
    <w:p>
      <w:pPr>
        <w:ind w:firstLine="480"/>
        <w:rPr>
          <w:rFonts w:ascii="宋体" w:hAnsi="宋体" w:cs="宋体"/>
          <w:color w:val="auto"/>
        </w:rPr>
      </w:pPr>
      <w:r>
        <w:rPr>
          <w:rFonts w:hint="eastAsia" w:ascii="宋体" w:hAnsi="宋体" w:cs="宋体"/>
          <w:color w:val="auto"/>
          <w:lang w:val="en-US" w:eastAsia="zh-CN"/>
        </w:rPr>
        <w:t>推进专业-课程-教材一体化建设。鼓励教师积极编写契合国家、行业领域需求的特色教材，优先支持“四新”教材和符合学校发展定位的优势学科专业教材，优先支持国家级一流专业配套教材、国家级一流课程配套教材和专业核心课程教材。2022年，共出版教材12本，学校现有省“十四五”“四新”重点建设教材34部。</w:t>
      </w:r>
    </w:p>
    <w:p>
      <w:pPr>
        <w:pStyle w:val="3"/>
        <w:spacing w:before="156" w:after="156"/>
        <w:rPr>
          <w:rFonts w:ascii="黑体" w:hAnsi="黑体" w:eastAsia="黑体"/>
          <w:color w:val="auto"/>
          <w:sz w:val="28"/>
          <w:highlight w:val="none"/>
        </w:rPr>
      </w:pPr>
      <w:bookmarkStart w:id="116" w:name="_Toc88219335"/>
      <w:bookmarkStart w:id="117" w:name="_Toc7011"/>
      <w:bookmarkStart w:id="118" w:name="_Toc23488"/>
      <w:bookmarkStart w:id="119" w:name="_Toc25801"/>
      <w:bookmarkStart w:id="120" w:name="_Toc88218428"/>
      <w:bookmarkStart w:id="121" w:name="_Toc89702807"/>
      <w:r>
        <w:rPr>
          <w:rFonts w:hint="eastAsia" w:ascii="黑体" w:hAnsi="黑体" w:eastAsia="黑体"/>
          <w:color w:val="auto"/>
          <w:sz w:val="28"/>
          <w:highlight w:val="none"/>
          <w:lang w:eastAsia="zh-CN"/>
        </w:rPr>
        <w:t>（</w:t>
      </w:r>
      <w:r>
        <w:rPr>
          <w:rFonts w:hint="eastAsia" w:ascii="黑体" w:hAnsi="黑体" w:eastAsia="黑体"/>
          <w:color w:val="auto"/>
          <w:sz w:val="28"/>
          <w:highlight w:val="none"/>
          <w:lang w:val="en-US" w:eastAsia="zh-CN"/>
        </w:rPr>
        <w:t>四</w:t>
      </w:r>
      <w:r>
        <w:rPr>
          <w:rFonts w:hint="eastAsia" w:ascii="黑体" w:hAnsi="黑体" w:eastAsia="黑体"/>
          <w:color w:val="auto"/>
          <w:sz w:val="28"/>
          <w:highlight w:val="none"/>
          <w:lang w:eastAsia="zh-CN"/>
        </w:rPr>
        <w:t>）</w:t>
      </w:r>
      <w:r>
        <w:rPr>
          <w:rFonts w:hint="eastAsia" w:ascii="黑体" w:hAnsi="黑体" w:eastAsia="黑体"/>
          <w:color w:val="auto"/>
          <w:sz w:val="28"/>
          <w:highlight w:val="none"/>
        </w:rPr>
        <w:t>课堂教学</w:t>
      </w:r>
      <w:bookmarkEnd w:id="116"/>
      <w:bookmarkEnd w:id="117"/>
      <w:bookmarkEnd w:id="118"/>
      <w:bookmarkEnd w:id="119"/>
      <w:bookmarkEnd w:id="120"/>
      <w:bookmarkEnd w:id="121"/>
    </w:p>
    <w:p>
      <w:pPr>
        <w:pStyle w:val="4"/>
        <w:rPr>
          <w:rFonts w:ascii="黑体" w:hAnsi="黑体" w:cs="黑体"/>
          <w:color w:val="auto"/>
          <w:highlight w:val="none"/>
        </w:rPr>
      </w:pPr>
      <w:bookmarkStart w:id="122" w:name="_Toc30939"/>
      <w:bookmarkStart w:id="123" w:name="_Toc88218429"/>
      <w:bookmarkStart w:id="124" w:name="_Toc89702808"/>
      <w:bookmarkStart w:id="125" w:name="_Toc24288"/>
      <w:bookmarkStart w:id="126" w:name="_Toc23795"/>
      <w:r>
        <w:rPr>
          <w:rFonts w:hint="eastAsia" w:ascii="黑体" w:hAnsi="黑体" w:cs="黑体"/>
          <w:color w:val="auto"/>
          <w:highlight w:val="none"/>
          <w:lang w:val="en-US" w:eastAsia="zh-CN"/>
        </w:rPr>
        <w:t>1.</w:t>
      </w:r>
      <w:r>
        <w:rPr>
          <w:rFonts w:hint="eastAsia" w:ascii="黑体" w:hAnsi="黑体" w:cs="黑体"/>
          <w:color w:val="auto"/>
          <w:highlight w:val="none"/>
        </w:rPr>
        <w:t>课堂教学规模</w:t>
      </w:r>
      <w:bookmarkEnd w:id="122"/>
      <w:bookmarkEnd w:id="123"/>
      <w:bookmarkEnd w:id="124"/>
      <w:bookmarkEnd w:id="125"/>
      <w:bookmarkEnd w:id="126"/>
    </w:p>
    <w:p>
      <w:pPr>
        <w:ind w:firstLine="480"/>
        <w:rPr>
          <w:rFonts w:ascii="宋体" w:hAnsi="宋体" w:cs="宋体"/>
          <w:color w:val="auto"/>
          <w:highlight w:val="yellow"/>
        </w:rPr>
      </w:pPr>
      <w:r>
        <w:rPr>
          <w:rFonts w:hint="eastAsia" w:ascii="宋体" w:hAnsi="宋体" w:cs="宋体"/>
          <w:color w:val="auto"/>
          <w:highlight w:val="none"/>
        </w:rPr>
        <w:t>学校倡导小班化教学，</w:t>
      </w:r>
      <w:r>
        <w:rPr>
          <w:rFonts w:hint="eastAsia" w:ascii="宋体" w:hAnsi="宋体" w:cs="宋体"/>
          <w:color w:val="auto"/>
          <w:highlight w:val="none"/>
          <w:lang w:val="en-US" w:eastAsia="zh-CN"/>
        </w:rPr>
        <w:t>近两年因招生人数增加，公共必修课小班化压力增大，</w:t>
      </w:r>
      <w:r>
        <w:rPr>
          <w:rFonts w:hint="eastAsia" w:ascii="宋体" w:hAnsi="宋体" w:cs="宋体"/>
          <w:color w:val="auto"/>
          <w:highlight w:val="none"/>
        </w:rPr>
        <w:t>20</w:t>
      </w:r>
      <w:r>
        <w:rPr>
          <w:rFonts w:ascii="宋体" w:hAnsi="宋体" w:cs="宋体"/>
          <w:color w:val="auto"/>
          <w:highlight w:val="none"/>
        </w:rPr>
        <w:t>2</w:t>
      </w:r>
      <w:r>
        <w:rPr>
          <w:rFonts w:hint="eastAsia" w:ascii="宋体" w:hAnsi="宋体" w:cs="宋体"/>
          <w:color w:val="auto"/>
          <w:highlight w:val="none"/>
          <w:lang w:val="en-US" w:eastAsia="zh-CN"/>
        </w:rPr>
        <w:t>2</w:t>
      </w:r>
      <w:r>
        <w:rPr>
          <w:rFonts w:hint="eastAsia" w:ascii="宋体" w:hAnsi="宋体" w:cs="宋体"/>
          <w:color w:val="auto"/>
          <w:highlight w:val="none"/>
        </w:rPr>
        <w:t>-202</w:t>
      </w:r>
      <w:r>
        <w:rPr>
          <w:rFonts w:hint="eastAsia" w:ascii="宋体" w:hAnsi="宋体" w:cs="宋体"/>
          <w:color w:val="auto"/>
          <w:highlight w:val="none"/>
          <w:lang w:val="en-US" w:eastAsia="zh-CN"/>
        </w:rPr>
        <w:t>3</w:t>
      </w:r>
      <w:r>
        <w:rPr>
          <w:rFonts w:hint="eastAsia" w:ascii="宋体" w:hAnsi="宋体" w:cs="宋体"/>
          <w:color w:val="auto"/>
          <w:highlight w:val="none"/>
        </w:rPr>
        <w:t>学年，30人及以下教学班占当年教学班总额比例为2</w:t>
      </w:r>
      <w:r>
        <w:rPr>
          <w:rFonts w:hint="eastAsia" w:ascii="宋体" w:hAnsi="宋体" w:cs="宋体"/>
          <w:color w:val="auto"/>
          <w:highlight w:val="none"/>
          <w:lang w:val="en-US" w:eastAsia="zh-CN"/>
        </w:rPr>
        <w:t>3.73</w:t>
      </w:r>
      <w:r>
        <w:rPr>
          <w:rFonts w:hint="eastAsia" w:ascii="宋体" w:hAnsi="宋体" w:cs="宋体"/>
          <w:color w:val="auto"/>
          <w:highlight w:val="none"/>
        </w:rPr>
        <w:t>%，31-60人教学班占当年教学班总额比例为</w:t>
      </w:r>
      <w:r>
        <w:rPr>
          <w:rFonts w:ascii="宋体" w:hAnsi="宋体" w:cs="宋体"/>
          <w:color w:val="auto"/>
          <w:highlight w:val="none"/>
        </w:rPr>
        <w:t>5</w:t>
      </w:r>
      <w:r>
        <w:rPr>
          <w:rFonts w:hint="eastAsia" w:ascii="宋体" w:hAnsi="宋体" w:cs="宋体"/>
          <w:color w:val="auto"/>
          <w:highlight w:val="none"/>
        </w:rPr>
        <w:t>5.</w:t>
      </w:r>
      <w:r>
        <w:rPr>
          <w:rFonts w:hint="eastAsia" w:ascii="宋体" w:hAnsi="宋体" w:cs="宋体"/>
          <w:color w:val="auto"/>
          <w:highlight w:val="none"/>
          <w:lang w:val="en-US" w:eastAsia="zh-CN"/>
        </w:rPr>
        <w:t>96</w:t>
      </w:r>
      <w:r>
        <w:rPr>
          <w:rFonts w:hint="eastAsia" w:ascii="宋体" w:hAnsi="宋体" w:cs="宋体"/>
          <w:color w:val="auto"/>
          <w:highlight w:val="none"/>
        </w:rPr>
        <w:t>%（见表</w:t>
      </w:r>
      <w:r>
        <w:rPr>
          <w:rFonts w:hint="eastAsia" w:ascii="宋体" w:hAnsi="宋体" w:cs="宋体"/>
          <w:color w:val="auto"/>
          <w:highlight w:val="none"/>
          <w:lang w:val="en-US" w:eastAsia="zh-CN"/>
        </w:rPr>
        <w:t>5</w:t>
      </w:r>
      <w:r>
        <w:rPr>
          <w:rFonts w:hint="eastAsia" w:ascii="宋体" w:hAnsi="宋体" w:cs="宋体"/>
          <w:color w:val="auto"/>
          <w:highlight w:val="none"/>
        </w:rPr>
        <w:t>）。</w:t>
      </w:r>
      <w:bookmarkStart w:id="127" w:name="_Toc501095221"/>
      <w:bookmarkStart w:id="128" w:name="_Toc471370689"/>
    </w:p>
    <w:p>
      <w:pPr>
        <w:pStyle w:val="6"/>
        <w:spacing w:before="156" w:beforeLines="50" w:after="156" w:afterLines="50" w:line="240" w:lineRule="auto"/>
        <w:ind w:firstLine="0" w:firstLineChars="0"/>
        <w:jc w:val="center"/>
        <w:rPr>
          <w:rFonts w:ascii="宋体" w:hAnsi="宋体" w:eastAsia="宋体" w:cs="宋体"/>
          <w:color w:val="auto"/>
          <w:sz w:val="21"/>
          <w:szCs w:val="21"/>
          <w:highlight w:val="none"/>
        </w:rPr>
      </w:pPr>
      <w:bookmarkStart w:id="129" w:name="_Toc88218482"/>
      <w:r>
        <w:rPr>
          <w:rFonts w:hint="eastAsia" w:ascii="宋体" w:hAnsi="宋体" w:eastAsia="宋体" w:cs="宋体"/>
          <w:color w:val="auto"/>
          <w:sz w:val="21"/>
          <w:szCs w:val="21"/>
          <w:highlight w:val="none"/>
        </w:rPr>
        <w:t>表</w:t>
      </w:r>
      <w:bookmarkStart w:id="130" w:name="_Toc26837"/>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 xml:space="preserve"> 20</w:t>
      </w:r>
      <w:r>
        <w:rPr>
          <w:rFonts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-202</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学年本科教学班额情况</w:t>
      </w:r>
      <w:bookmarkEnd w:id="127"/>
      <w:bookmarkEnd w:id="129"/>
      <w:r>
        <w:rPr>
          <w:rFonts w:hint="eastAsia" w:ascii="宋体" w:hAnsi="宋体" w:eastAsia="宋体" w:cs="宋体"/>
          <w:color w:val="auto"/>
          <w:sz w:val="21"/>
          <w:szCs w:val="21"/>
          <w:highlight w:val="none"/>
        </w:rPr>
        <w:t>（不含实践课）</w:t>
      </w:r>
      <w:bookmarkEnd w:id="130"/>
    </w:p>
    <w:bookmarkEnd w:id="128"/>
    <w:tbl>
      <w:tblPr>
        <w:tblStyle w:val="18"/>
        <w:tblW w:w="48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1382"/>
        <w:gridCol w:w="1267"/>
        <w:gridCol w:w="1500"/>
        <w:gridCol w:w="1382"/>
        <w:gridCol w:w="1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924" w:type="pct"/>
            <w:vAlign w:val="center"/>
          </w:tcPr>
          <w:p>
            <w:pPr>
              <w:widowControl/>
              <w:spacing w:line="360" w:lineRule="exact"/>
              <w:ind w:firstLine="0" w:firstLineChars="0"/>
              <w:rPr>
                <w:rFonts w:ascii="宋体" w:hAnsi="宋体" w:cs="宋体"/>
                <w:color w:val="auto"/>
                <w:kern w:val="0"/>
                <w:sz w:val="21"/>
                <w:szCs w:val="21"/>
                <w:highlight w:val="none"/>
              </w:rPr>
            </w:pPr>
            <w:r>
              <w:rPr>
                <w:rFonts w:hint="eastAsia" w:ascii="宋体" w:hAnsi="宋体" w:cs="宋体"/>
                <w:color w:val="auto"/>
                <w:kern w:val="0"/>
                <w:sz w:val="21"/>
                <w:szCs w:val="21"/>
                <w:highlight w:val="none"/>
              </w:rPr>
              <w:t>班级规模</w:t>
            </w:r>
          </w:p>
        </w:tc>
        <w:tc>
          <w:tcPr>
            <w:tcW w:w="829" w:type="pct"/>
            <w:vAlign w:val="center"/>
          </w:tcPr>
          <w:p>
            <w:pPr>
              <w:widowControl/>
              <w:spacing w:line="360" w:lineRule="exact"/>
              <w:ind w:firstLine="0" w:firstLineChars="0"/>
              <w:rPr>
                <w:rFonts w:ascii="宋体" w:hAnsi="宋体" w:cs="宋体"/>
                <w:color w:val="auto"/>
                <w:kern w:val="0"/>
                <w:sz w:val="21"/>
                <w:szCs w:val="21"/>
                <w:highlight w:val="none"/>
              </w:rPr>
            </w:pPr>
            <w:r>
              <w:rPr>
                <w:rFonts w:hint="eastAsia" w:ascii="宋体" w:hAnsi="宋体" w:cs="宋体"/>
                <w:color w:val="auto"/>
                <w:kern w:val="0"/>
                <w:sz w:val="21"/>
                <w:szCs w:val="21"/>
                <w:highlight w:val="none"/>
              </w:rPr>
              <w:t>公共必修课</w:t>
            </w:r>
          </w:p>
        </w:tc>
        <w:tc>
          <w:tcPr>
            <w:tcW w:w="760" w:type="pct"/>
            <w:vAlign w:val="center"/>
          </w:tcPr>
          <w:p>
            <w:pPr>
              <w:widowControl/>
              <w:spacing w:line="360" w:lineRule="exact"/>
              <w:ind w:firstLine="0" w:firstLineChars="0"/>
              <w:rPr>
                <w:rFonts w:ascii="宋体" w:hAnsi="宋体" w:cs="宋体"/>
                <w:color w:val="auto"/>
                <w:kern w:val="0"/>
                <w:sz w:val="21"/>
                <w:szCs w:val="21"/>
                <w:highlight w:val="none"/>
              </w:rPr>
            </w:pPr>
            <w:r>
              <w:rPr>
                <w:rFonts w:hint="eastAsia" w:ascii="宋体" w:hAnsi="宋体" w:cs="宋体"/>
                <w:color w:val="auto"/>
                <w:kern w:val="0"/>
                <w:sz w:val="21"/>
                <w:szCs w:val="21"/>
                <w:highlight w:val="none"/>
              </w:rPr>
              <w:t>公共选修课</w:t>
            </w:r>
          </w:p>
        </w:tc>
        <w:tc>
          <w:tcPr>
            <w:tcW w:w="900" w:type="pct"/>
            <w:vAlign w:val="center"/>
          </w:tcPr>
          <w:p>
            <w:pPr>
              <w:widowControl/>
              <w:spacing w:line="360" w:lineRule="exact"/>
              <w:ind w:firstLine="210" w:firstLineChars="100"/>
              <w:rPr>
                <w:rFonts w:ascii="宋体" w:hAnsi="宋体" w:cs="宋体"/>
                <w:color w:val="auto"/>
                <w:kern w:val="0"/>
                <w:sz w:val="21"/>
                <w:szCs w:val="21"/>
                <w:highlight w:val="none"/>
              </w:rPr>
            </w:pPr>
            <w:r>
              <w:rPr>
                <w:rFonts w:hint="eastAsia" w:ascii="宋体" w:hAnsi="宋体" w:cs="宋体"/>
                <w:color w:val="auto"/>
                <w:kern w:val="0"/>
                <w:sz w:val="21"/>
                <w:szCs w:val="21"/>
                <w:highlight w:val="none"/>
              </w:rPr>
              <w:t>专业课</w:t>
            </w:r>
          </w:p>
        </w:tc>
        <w:tc>
          <w:tcPr>
            <w:tcW w:w="829" w:type="pct"/>
            <w:vAlign w:val="center"/>
          </w:tcPr>
          <w:p>
            <w:pPr>
              <w:widowControl/>
              <w:spacing w:line="360" w:lineRule="exact"/>
              <w:ind w:firstLine="420"/>
              <w:rPr>
                <w:rFonts w:ascii="宋体" w:hAnsi="宋体" w:cs="宋体"/>
                <w:color w:val="auto"/>
                <w:kern w:val="0"/>
                <w:sz w:val="21"/>
                <w:szCs w:val="21"/>
                <w:highlight w:val="none"/>
              </w:rPr>
            </w:pPr>
            <w:r>
              <w:rPr>
                <w:rFonts w:hint="eastAsia" w:ascii="宋体" w:hAnsi="宋体" w:cs="宋体"/>
                <w:color w:val="auto"/>
                <w:kern w:val="0"/>
                <w:sz w:val="21"/>
                <w:szCs w:val="21"/>
                <w:highlight w:val="none"/>
              </w:rPr>
              <w:t>数量</w:t>
            </w:r>
          </w:p>
        </w:tc>
        <w:tc>
          <w:tcPr>
            <w:tcW w:w="755"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924" w:type="pct"/>
            <w:vAlign w:val="center"/>
          </w:tcPr>
          <w:p>
            <w:pPr>
              <w:widowControl/>
              <w:ind w:firstLine="0" w:firstLineChars="0"/>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30及以下</w:t>
            </w:r>
          </w:p>
        </w:tc>
        <w:tc>
          <w:tcPr>
            <w:tcW w:w="1382" w:type="dxa"/>
            <w:vAlign w:val="center"/>
          </w:tcPr>
          <w:p>
            <w:pPr>
              <w:widowControl/>
              <w:ind w:firstLine="420"/>
              <w:textAlignment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bidi="ar"/>
              </w:rPr>
              <w:t>81</w:t>
            </w:r>
          </w:p>
        </w:tc>
        <w:tc>
          <w:tcPr>
            <w:tcW w:w="1267" w:type="dxa"/>
            <w:vAlign w:val="center"/>
          </w:tcPr>
          <w:p>
            <w:pPr>
              <w:widowControl/>
              <w:ind w:firstLine="420"/>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bidi="ar"/>
              </w:rPr>
              <w:t>32</w:t>
            </w:r>
          </w:p>
        </w:tc>
        <w:tc>
          <w:tcPr>
            <w:tcW w:w="1500" w:type="dxa"/>
            <w:vAlign w:val="center"/>
          </w:tcPr>
          <w:p>
            <w:pPr>
              <w:widowControl/>
              <w:ind w:firstLine="420"/>
              <w:textAlignment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bidi="ar"/>
              </w:rPr>
              <w:t>2180</w:t>
            </w:r>
          </w:p>
        </w:tc>
        <w:tc>
          <w:tcPr>
            <w:tcW w:w="1382" w:type="dxa"/>
            <w:vAlign w:val="center"/>
          </w:tcPr>
          <w:p>
            <w:pPr>
              <w:widowControl/>
              <w:ind w:firstLine="420"/>
              <w:textAlignment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bidi="ar"/>
              </w:rPr>
              <w:t>2293</w:t>
            </w:r>
          </w:p>
        </w:tc>
        <w:tc>
          <w:tcPr>
            <w:tcW w:w="1258" w:type="dxa"/>
            <w:vAlign w:val="center"/>
          </w:tcPr>
          <w:p>
            <w:pPr>
              <w:widowControl/>
              <w:ind w:firstLine="0" w:firstLineChars="0"/>
              <w:jc w:val="center"/>
              <w:textAlignment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23.73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924" w:type="pct"/>
            <w:vAlign w:val="center"/>
          </w:tcPr>
          <w:p>
            <w:pPr>
              <w:widowControl/>
              <w:ind w:firstLine="0" w:firstLineChars="0"/>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31-60</w:t>
            </w:r>
          </w:p>
        </w:tc>
        <w:tc>
          <w:tcPr>
            <w:tcW w:w="1382" w:type="dxa"/>
            <w:vAlign w:val="center"/>
          </w:tcPr>
          <w:p>
            <w:pPr>
              <w:widowControl/>
              <w:ind w:firstLine="420"/>
              <w:textAlignment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bidi="ar"/>
              </w:rPr>
              <w:t>1050</w:t>
            </w:r>
          </w:p>
        </w:tc>
        <w:tc>
          <w:tcPr>
            <w:tcW w:w="1267" w:type="dxa"/>
            <w:vAlign w:val="center"/>
          </w:tcPr>
          <w:p>
            <w:pPr>
              <w:widowControl/>
              <w:ind w:firstLine="420"/>
              <w:textAlignment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bidi="ar"/>
              </w:rPr>
              <w:t>1</w:t>
            </w:r>
            <w:r>
              <w:rPr>
                <w:rFonts w:hint="eastAsia" w:ascii="宋体" w:hAnsi="宋体" w:cs="宋体"/>
                <w:color w:val="auto"/>
                <w:kern w:val="0"/>
                <w:sz w:val="21"/>
                <w:szCs w:val="21"/>
                <w:highlight w:val="none"/>
                <w:lang w:val="en-US" w:eastAsia="zh-CN" w:bidi="ar"/>
              </w:rPr>
              <w:t>36</w:t>
            </w:r>
          </w:p>
        </w:tc>
        <w:tc>
          <w:tcPr>
            <w:tcW w:w="1500" w:type="dxa"/>
            <w:vAlign w:val="center"/>
          </w:tcPr>
          <w:p>
            <w:pPr>
              <w:widowControl/>
              <w:ind w:firstLine="420"/>
              <w:textAlignment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4221</w:t>
            </w:r>
          </w:p>
        </w:tc>
        <w:tc>
          <w:tcPr>
            <w:tcW w:w="1382" w:type="dxa"/>
            <w:vAlign w:val="center"/>
          </w:tcPr>
          <w:p>
            <w:pPr>
              <w:widowControl/>
              <w:ind w:firstLine="420"/>
              <w:textAlignment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5407</w:t>
            </w:r>
          </w:p>
        </w:tc>
        <w:tc>
          <w:tcPr>
            <w:tcW w:w="1258" w:type="dxa"/>
            <w:vAlign w:val="center"/>
          </w:tcPr>
          <w:p>
            <w:pPr>
              <w:widowControl/>
              <w:ind w:firstLine="0" w:firstLineChars="0"/>
              <w:jc w:val="center"/>
              <w:textAlignment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rPr>
              <w:t>55.</w:t>
            </w:r>
            <w:r>
              <w:rPr>
                <w:rFonts w:hint="eastAsia" w:ascii="宋体" w:hAnsi="宋体" w:cs="宋体"/>
                <w:color w:val="auto"/>
                <w:kern w:val="0"/>
                <w:sz w:val="21"/>
                <w:szCs w:val="21"/>
                <w:highlight w:val="none"/>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924" w:type="pct"/>
            <w:vAlign w:val="center"/>
          </w:tcPr>
          <w:p>
            <w:pPr>
              <w:widowControl/>
              <w:ind w:firstLine="0" w:firstLineChars="0"/>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61-90</w:t>
            </w:r>
          </w:p>
        </w:tc>
        <w:tc>
          <w:tcPr>
            <w:tcW w:w="1382" w:type="dxa"/>
            <w:vAlign w:val="center"/>
          </w:tcPr>
          <w:p>
            <w:pPr>
              <w:widowControl/>
              <w:ind w:firstLine="420"/>
              <w:textAlignment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bidi="ar"/>
              </w:rPr>
              <w:t>2</w:t>
            </w:r>
            <w:r>
              <w:rPr>
                <w:rFonts w:hint="eastAsia" w:ascii="宋体" w:hAnsi="宋体" w:cs="宋体"/>
                <w:color w:val="auto"/>
                <w:kern w:val="0"/>
                <w:sz w:val="21"/>
                <w:szCs w:val="21"/>
                <w:highlight w:val="none"/>
                <w:lang w:val="en-US" w:eastAsia="zh-CN" w:bidi="ar"/>
              </w:rPr>
              <w:t>68</w:t>
            </w:r>
          </w:p>
        </w:tc>
        <w:tc>
          <w:tcPr>
            <w:tcW w:w="1267" w:type="dxa"/>
            <w:vAlign w:val="center"/>
          </w:tcPr>
          <w:p>
            <w:pPr>
              <w:widowControl/>
              <w:ind w:firstLine="420"/>
              <w:textAlignment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185</w:t>
            </w:r>
          </w:p>
        </w:tc>
        <w:tc>
          <w:tcPr>
            <w:tcW w:w="1500" w:type="dxa"/>
            <w:vAlign w:val="center"/>
          </w:tcPr>
          <w:p>
            <w:pPr>
              <w:widowControl/>
              <w:ind w:firstLine="420"/>
              <w:textAlignment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803</w:t>
            </w:r>
          </w:p>
        </w:tc>
        <w:tc>
          <w:tcPr>
            <w:tcW w:w="1382" w:type="dxa"/>
            <w:vAlign w:val="center"/>
          </w:tcPr>
          <w:p>
            <w:pPr>
              <w:widowControl/>
              <w:ind w:firstLine="420"/>
              <w:textAlignment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1256</w:t>
            </w:r>
          </w:p>
        </w:tc>
        <w:tc>
          <w:tcPr>
            <w:tcW w:w="1258" w:type="dxa"/>
            <w:vAlign w:val="center"/>
          </w:tcPr>
          <w:p>
            <w:pPr>
              <w:widowControl/>
              <w:ind w:firstLine="0" w:firstLineChars="0"/>
              <w:jc w:val="center"/>
              <w:textAlignment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rPr>
              <w:t>1</w:t>
            </w:r>
            <w:r>
              <w:rPr>
                <w:rFonts w:hint="eastAsia" w:ascii="宋体" w:hAnsi="宋体" w:cs="宋体"/>
                <w:color w:val="auto"/>
                <w:kern w:val="0"/>
                <w:sz w:val="21"/>
                <w:szCs w:val="21"/>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924" w:type="pct"/>
            <w:vAlign w:val="center"/>
          </w:tcPr>
          <w:p>
            <w:pPr>
              <w:widowControl/>
              <w:ind w:firstLine="0" w:firstLineChars="0"/>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91及以上</w:t>
            </w:r>
          </w:p>
        </w:tc>
        <w:tc>
          <w:tcPr>
            <w:tcW w:w="1382" w:type="dxa"/>
            <w:vAlign w:val="center"/>
          </w:tcPr>
          <w:p>
            <w:pPr>
              <w:widowControl/>
              <w:ind w:firstLine="420"/>
              <w:textAlignment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239</w:t>
            </w:r>
          </w:p>
        </w:tc>
        <w:tc>
          <w:tcPr>
            <w:tcW w:w="1267" w:type="dxa"/>
            <w:vAlign w:val="center"/>
          </w:tcPr>
          <w:p>
            <w:pPr>
              <w:widowControl/>
              <w:ind w:firstLine="420"/>
              <w:textAlignment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208</w:t>
            </w:r>
          </w:p>
        </w:tc>
        <w:tc>
          <w:tcPr>
            <w:tcW w:w="1500" w:type="dxa"/>
            <w:vAlign w:val="center"/>
          </w:tcPr>
          <w:p>
            <w:pPr>
              <w:widowControl/>
              <w:ind w:firstLine="420"/>
              <w:textAlignment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259</w:t>
            </w:r>
          </w:p>
        </w:tc>
        <w:tc>
          <w:tcPr>
            <w:tcW w:w="1382" w:type="dxa"/>
            <w:vAlign w:val="center"/>
          </w:tcPr>
          <w:p>
            <w:pPr>
              <w:widowControl/>
              <w:ind w:firstLine="420"/>
              <w:textAlignment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706</w:t>
            </w:r>
          </w:p>
        </w:tc>
        <w:tc>
          <w:tcPr>
            <w:tcW w:w="1258" w:type="dxa"/>
            <w:vAlign w:val="center"/>
          </w:tcPr>
          <w:p>
            <w:pPr>
              <w:widowControl/>
              <w:ind w:firstLine="0" w:firstLineChars="0"/>
              <w:jc w:val="center"/>
              <w:textAlignment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924" w:type="pct"/>
            <w:vAlign w:val="center"/>
          </w:tcPr>
          <w:p>
            <w:pPr>
              <w:widowControl/>
              <w:ind w:firstLine="0" w:firstLineChars="0"/>
              <w:textAlignment w:val="center"/>
              <w:rPr>
                <w:rFonts w:ascii="宋体" w:hAnsi="宋体" w:cs="宋体"/>
                <w:color w:val="auto"/>
                <w:kern w:val="0"/>
                <w:sz w:val="21"/>
                <w:szCs w:val="21"/>
                <w:highlight w:val="none"/>
              </w:rPr>
            </w:pPr>
            <w:bookmarkStart w:id="131" w:name="_Toc89702809"/>
            <w:bookmarkStart w:id="132" w:name="_Toc88218430"/>
            <w:bookmarkStart w:id="133" w:name="_Toc23700"/>
            <w:bookmarkStart w:id="134" w:name="_Toc19240"/>
            <w:r>
              <w:rPr>
                <w:rFonts w:hint="eastAsia" w:ascii="宋体" w:hAnsi="宋体" w:cs="宋体"/>
                <w:color w:val="auto"/>
                <w:kern w:val="0"/>
                <w:sz w:val="21"/>
                <w:szCs w:val="21"/>
                <w:highlight w:val="none"/>
              </w:rPr>
              <w:t>总计</w:t>
            </w:r>
          </w:p>
        </w:tc>
        <w:tc>
          <w:tcPr>
            <w:tcW w:w="1382" w:type="dxa"/>
            <w:vAlign w:val="center"/>
          </w:tcPr>
          <w:p>
            <w:pPr>
              <w:widowControl/>
              <w:ind w:firstLine="420"/>
              <w:textAlignment w:val="center"/>
              <w:rPr>
                <w:rFonts w:ascii="宋体" w:hAnsi="宋体" w:cs="宋体"/>
                <w:color w:val="auto"/>
                <w:kern w:val="0"/>
                <w:sz w:val="21"/>
                <w:szCs w:val="21"/>
                <w:highlight w:val="none"/>
                <w:lang w:bidi="ar"/>
              </w:rPr>
            </w:pPr>
            <w:r>
              <w:rPr>
                <w:rFonts w:hint="eastAsia" w:ascii="宋体" w:hAnsi="宋体" w:cs="宋体"/>
                <w:color w:val="auto"/>
                <w:kern w:val="0"/>
                <w:sz w:val="21"/>
                <w:szCs w:val="21"/>
                <w:highlight w:val="none"/>
                <w:lang w:bidi="ar"/>
              </w:rPr>
              <w:t>1</w:t>
            </w:r>
            <w:r>
              <w:rPr>
                <w:rFonts w:hint="eastAsia" w:ascii="宋体" w:hAnsi="宋体" w:cs="宋体"/>
                <w:color w:val="auto"/>
                <w:kern w:val="0"/>
                <w:sz w:val="21"/>
                <w:szCs w:val="21"/>
                <w:highlight w:val="none"/>
                <w:lang w:val="en-US" w:eastAsia="zh-CN" w:bidi="ar"/>
              </w:rPr>
              <w:t>63</w:t>
            </w:r>
            <w:r>
              <w:rPr>
                <w:rFonts w:hint="eastAsia" w:ascii="宋体" w:hAnsi="宋体" w:cs="宋体"/>
                <w:color w:val="auto"/>
                <w:kern w:val="0"/>
                <w:sz w:val="21"/>
                <w:szCs w:val="21"/>
                <w:highlight w:val="none"/>
                <w:lang w:bidi="ar"/>
              </w:rPr>
              <w:t>8</w:t>
            </w:r>
          </w:p>
        </w:tc>
        <w:tc>
          <w:tcPr>
            <w:tcW w:w="1267" w:type="dxa"/>
            <w:vAlign w:val="center"/>
          </w:tcPr>
          <w:p>
            <w:pPr>
              <w:widowControl/>
              <w:ind w:firstLine="420"/>
              <w:textAlignment w:val="center"/>
              <w:rPr>
                <w:rFonts w:hint="default"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561</w:t>
            </w:r>
          </w:p>
        </w:tc>
        <w:tc>
          <w:tcPr>
            <w:tcW w:w="1500" w:type="dxa"/>
            <w:vAlign w:val="center"/>
          </w:tcPr>
          <w:p>
            <w:pPr>
              <w:widowControl/>
              <w:ind w:firstLine="420"/>
              <w:textAlignment w:val="center"/>
              <w:rPr>
                <w:rFonts w:hint="default"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7463</w:t>
            </w:r>
          </w:p>
        </w:tc>
        <w:tc>
          <w:tcPr>
            <w:tcW w:w="1382" w:type="dxa"/>
            <w:vAlign w:val="center"/>
          </w:tcPr>
          <w:p>
            <w:pPr>
              <w:widowControl/>
              <w:ind w:firstLine="420"/>
              <w:textAlignment w:val="center"/>
              <w:rPr>
                <w:rFonts w:hint="default"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9662</w:t>
            </w:r>
          </w:p>
        </w:tc>
        <w:tc>
          <w:tcPr>
            <w:tcW w:w="1258" w:type="dxa"/>
            <w:vAlign w:val="center"/>
          </w:tcPr>
          <w:p>
            <w:pPr>
              <w:widowControl/>
              <w:ind w:firstLine="0" w:firstLineChars="0"/>
              <w:jc w:val="center"/>
              <w:textAlignment w:val="center"/>
              <w:rPr>
                <w:rFonts w:ascii="宋体" w:hAnsi="宋体" w:cs="宋体"/>
                <w:color w:val="auto"/>
                <w:kern w:val="0"/>
                <w:sz w:val="21"/>
                <w:szCs w:val="21"/>
                <w:highlight w:val="none"/>
                <w:lang w:bidi="ar"/>
              </w:rPr>
            </w:pPr>
            <w:r>
              <w:rPr>
                <w:rFonts w:hint="eastAsia" w:ascii="宋体" w:hAnsi="宋体" w:cs="宋体"/>
                <w:color w:val="auto"/>
                <w:kern w:val="0"/>
                <w:sz w:val="21"/>
                <w:szCs w:val="21"/>
                <w:highlight w:val="none"/>
                <w:lang w:bidi="ar"/>
              </w:rPr>
              <w:t>100</w:t>
            </w:r>
          </w:p>
        </w:tc>
      </w:tr>
    </w:tbl>
    <w:p>
      <w:pPr>
        <w:pStyle w:val="4"/>
        <w:rPr>
          <w:rFonts w:ascii="黑体" w:hAnsi="黑体" w:cs="黑体"/>
          <w:color w:val="auto"/>
          <w:highlight w:val="none"/>
        </w:rPr>
      </w:pPr>
      <w:bookmarkStart w:id="135" w:name="_Toc7285"/>
      <w:bookmarkStart w:id="136" w:name="OLE_LINK5"/>
      <w:bookmarkStart w:id="137" w:name="OLE_LINK6"/>
      <w:r>
        <w:rPr>
          <w:rFonts w:hint="eastAsia" w:ascii="黑体" w:hAnsi="黑体" w:cs="黑体"/>
          <w:color w:val="auto"/>
          <w:highlight w:val="none"/>
          <w:lang w:val="en-US" w:eastAsia="zh-CN"/>
        </w:rPr>
        <w:t>2.</w:t>
      </w:r>
      <w:r>
        <w:rPr>
          <w:rFonts w:hint="eastAsia" w:ascii="黑体" w:hAnsi="黑体" w:cs="黑体"/>
          <w:color w:val="auto"/>
          <w:highlight w:val="none"/>
        </w:rPr>
        <w:t>课堂教学改革</w:t>
      </w:r>
      <w:bookmarkEnd w:id="131"/>
      <w:bookmarkEnd w:id="132"/>
      <w:bookmarkEnd w:id="133"/>
      <w:bookmarkEnd w:id="134"/>
      <w:bookmarkEnd w:id="135"/>
    </w:p>
    <w:p>
      <w:pPr>
        <w:ind w:firstLine="480"/>
        <w:rPr>
          <w:rFonts w:ascii="宋体" w:hAnsi="宋体" w:cs="宋体"/>
          <w:color w:val="auto"/>
          <w:highlight w:val="yellow"/>
        </w:rPr>
      </w:pPr>
      <w:r>
        <w:rPr>
          <w:rFonts w:hint="eastAsia" w:ascii="宋体" w:hAnsi="宋体" w:cs="宋体"/>
          <w:color w:val="auto"/>
          <w:highlight w:val="none"/>
        </w:rPr>
        <w:t>学校开展“教学内容前沿</w:t>
      </w:r>
      <w:r>
        <w:rPr>
          <w:rFonts w:ascii="宋体" w:hAnsi="宋体" w:cs="宋体"/>
          <w:color w:val="auto"/>
          <w:highlight w:val="none"/>
        </w:rPr>
        <w:t>-教学方法优化-考核方式科学-学习方法有效”的四位一体课堂建设，从教学研究指导、教改项目推动、教师培训提升、优质课堂示范、课堂质量监控五方面协同推进课堂教学改革与创新；积极推进小班化课堂教学改革，鼓励教师实施基于“创设情境-启发思考-写作交流-反思提高”流程的探究式教学；积极推进“课程思政”课堂教学改革。</w:t>
      </w:r>
      <w:r>
        <w:rPr>
          <w:rFonts w:hint="eastAsia" w:ascii="宋体" w:hAnsi="宋体" w:cs="宋体"/>
          <w:color w:val="auto"/>
          <w:highlight w:val="none"/>
          <w:lang w:val="en-US" w:eastAsia="zh-CN"/>
        </w:rPr>
        <w:t>2022</w:t>
      </w:r>
      <w:r>
        <w:rPr>
          <w:rFonts w:hint="eastAsia" w:ascii="宋体" w:hAnsi="宋体" w:cs="宋体"/>
          <w:color w:val="auto"/>
          <w:highlight w:val="none"/>
        </w:rPr>
        <w:t>年立项建设校级教学改革项目</w:t>
      </w:r>
      <w:r>
        <w:rPr>
          <w:rFonts w:ascii="宋体" w:hAnsi="宋体" w:cs="宋体"/>
          <w:color w:val="auto"/>
          <w:highlight w:val="none"/>
        </w:rPr>
        <w:t>201</w:t>
      </w:r>
      <w:r>
        <w:rPr>
          <w:rFonts w:hint="eastAsia" w:ascii="宋体" w:hAnsi="宋体" w:cs="宋体"/>
          <w:color w:val="auto"/>
          <w:highlight w:val="none"/>
        </w:rPr>
        <w:t>项，省级教学改革项目26项，</w:t>
      </w:r>
      <w:r>
        <w:rPr>
          <w:rFonts w:ascii="宋体" w:hAnsi="宋体" w:eastAsia="宋体" w:cs="宋体"/>
          <w:color w:val="auto"/>
          <w:sz w:val="24"/>
          <w:szCs w:val="24"/>
          <w:highlight w:val="none"/>
        </w:rPr>
        <w:t>省级课程思政教学项目10项</w:t>
      </w:r>
      <w:r>
        <w:rPr>
          <w:rFonts w:ascii="宋体" w:hAnsi="宋体" w:eastAsia="宋体" w:cs="宋体"/>
          <w:color w:val="auto"/>
          <w:sz w:val="24"/>
          <w:szCs w:val="24"/>
        </w:rPr>
        <w:t>，</w:t>
      </w:r>
      <w:r>
        <w:rPr>
          <w:rFonts w:hint="eastAsia" w:ascii="宋体" w:hAnsi="宋体" w:cs="宋体"/>
          <w:color w:val="auto"/>
          <w:highlight w:val="none"/>
        </w:rPr>
        <w:t>涉及教学改革研究、专业培养、课程建设、教材建设、实践教学、教学方法研究、课堂教学改革、实验实训建设等方面。</w:t>
      </w:r>
    </w:p>
    <w:p>
      <w:pPr>
        <w:pStyle w:val="4"/>
        <w:rPr>
          <w:rFonts w:hint="eastAsia" w:ascii="黑体" w:hAnsi="黑体" w:cs="黑体"/>
          <w:color w:val="auto"/>
          <w:highlight w:val="none"/>
          <w:lang w:val="en-US" w:eastAsia="zh-CN"/>
        </w:rPr>
      </w:pPr>
      <w:bookmarkStart w:id="138" w:name="_Toc89702810"/>
      <w:bookmarkStart w:id="139" w:name="_Toc573"/>
      <w:bookmarkStart w:id="140" w:name="_Toc88218431"/>
      <w:bookmarkStart w:id="141" w:name="_Toc20681"/>
      <w:bookmarkStart w:id="142" w:name="_Toc14809"/>
      <w:r>
        <w:rPr>
          <w:rFonts w:hint="eastAsia" w:ascii="黑体" w:hAnsi="黑体" w:cs="黑体"/>
          <w:color w:val="auto"/>
          <w:highlight w:val="none"/>
          <w:lang w:val="en-US" w:eastAsia="zh-CN"/>
        </w:rPr>
        <w:t>3.教授为本科生授课情况</w:t>
      </w:r>
      <w:bookmarkEnd w:id="138"/>
      <w:bookmarkEnd w:id="139"/>
      <w:bookmarkEnd w:id="140"/>
      <w:bookmarkEnd w:id="141"/>
      <w:bookmarkEnd w:id="142"/>
    </w:p>
    <w:p>
      <w:pPr>
        <w:jc w:val="left"/>
        <w:rPr>
          <w:rFonts w:ascii="宋体" w:hAnsi="宋体" w:cs="宋体"/>
          <w:color w:val="auto"/>
          <w:highlight w:val="none"/>
        </w:rPr>
      </w:pPr>
      <w:r>
        <w:rPr>
          <w:rFonts w:hint="eastAsia" w:ascii="宋体" w:hAnsi="宋体" w:cs="宋体"/>
          <w:color w:val="auto"/>
          <w:highlight w:val="none"/>
        </w:rPr>
        <w:t>学校严格落实“教授、副教授上讲台制度”，鼓励高层次人才及其团队为本科生开设研讨性课程，鼓励学生参与教师科研项目，提高学生创新能力</w:t>
      </w:r>
      <w:r>
        <w:rPr>
          <w:rFonts w:hint="eastAsia" w:ascii="宋体" w:hAnsi="宋体" w:cs="宋体"/>
          <w:color w:val="auto"/>
          <w:highlight w:val="none"/>
          <w:lang w:eastAsia="zh-CN"/>
        </w:rPr>
        <w:t>。</w:t>
      </w:r>
      <w:r>
        <w:rPr>
          <w:rFonts w:hint="eastAsia" w:ascii="宋体" w:hAnsi="宋体" w:cs="宋体"/>
          <w:color w:val="auto"/>
          <w:highlight w:val="none"/>
        </w:rPr>
        <w:t>本学年高级职称教师承担的本科专业核心课程</w:t>
      </w:r>
      <w:r>
        <w:rPr>
          <w:rFonts w:hint="eastAsia" w:ascii="宋体" w:hAnsi="宋体" w:cs="宋体"/>
          <w:color w:val="auto"/>
          <w:highlight w:val="none"/>
          <w:lang w:val="en-US" w:eastAsia="zh-CN"/>
        </w:rPr>
        <w:t>540</w:t>
      </w:r>
      <w:r>
        <w:rPr>
          <w:rFonts w:hint="eastAsia" w:ascii="宋体" w:hAnsi="宋体" w:cs="宋体"/>
          <w:color w:val="auto"/>
          <w:highlight w:val="none"/>
        </w:rPr>
        <w:t>门，占所开设本科专业核心课程的比例为</w:t>
      </w:r>
      <w:r>
        <w:rPr>
          <w:rFonts w:hint="eastAsia" w:ascii="宋体" w:hAnsi="宋体" w:cs="宋体"/>
          <w:color w:val="auto"/>
          <w:highlight w:val="none"/>
          <w:lang w:val="en-US" w:eastAsia="zh-CN"/>
        </w:rPr>
        <w:t>72.68</w:t>
      </w:r>
      <w:r>
        <w:rPr>
          <w:rFonts w:hint="eastAsia" w:ascii="宋体" w:hAnsi="宋体" w:cs="宋体"/>
          <w:color w:val="auto"/>
          <w:highlight w:val="none"/>
        </w:rPr>
        <w:t>%</w:t>
      </w:r>
      <w:r>
        <w:rPr>
          <w:rFonts w:hint="eastAsia" w:ascii="宋体" w:hAnsi="宋体" w:cs="宋体"/>
          <w:color w:val="auto"/>
          <w:highlight w:val="none"/>
          <w:lang w:eastAsia="zh-CN"/>
        </w:rPr>
        <w:t>；</w:t>
      </w:r>
      <w:r>
        <w:rPr>
          <w:rFonts w:hint="eastAsia" w:ascii="宋体" w:hAnsi="宋体" w:cs="宋体"/>
          <w:color w:val="auto"/>
          <w:highlight w:val="none"/>
        </w:rPr>
        <w:t>为本科生上课的教授人数占教授总人数的</w:t>
      </w:r>
      <w:r>
        <w:rPr>
          <w:rFonts w:hint="eastAsia" w:ascii="宋体" w:hAnsi="宋体" w:cs="宋体"/>
          <w:color w:val="auto"/>
          <w:highlight w:val="none"/>
          <w:lang w:val="en-US" w:eastAsia="zh-CN"/>
        </w:rPr>
        <w:t>94.01</w:t>
      </w:r>
      <w:r>
        <w:rPr>
          <w:rFonts w:hint="eastAsia" w:ascii="宋体" w:hAnsi="宋体" w:cs="宋体"/>
          <w:color w:val="auto"/>
          <w:highlight w:val="none"/>
        </w:rPr>
        <w:t>%</w:t>
      </w:r>
      <w:r>
        <w:rPr>
          <w:rFonts w:hint="eastAsia" w:ascii="宋体" w:hAnsi="宋体" w:cs="宋体"/>
          <w:color w:val="auto"/>
          <w:highlight w:val="none"/>
          <w:lang w:eastAsia="zh-CN"/>
        </w:rPr>
        <w:t>（</w:t>
      </w:r>
      <w:r>
        <w:rPr>
          <w:rFonts w:hint="eastAsia" w:ascii="宋体" w:hAnsi="宋体" w:cs="宋体"/>
          <w:color w:val="auto"/>
          <w:highlight w:val="none"/>
          <w:lang w:val="en-US" w:eastAsia="zh-CN"/>
        </w:rPr>
        <w:t>个别教授因特殊情况未授课</w:t>
      </w:r>
      <w:r>
        <w:rPr>
          <w:rFonts w:hint="eastAsia" w:ascii="宋体" w:hAnsi="宋体" w:cs="宋体"/>
          <w:color w:val="auto"/>
          <w:highlight w:val="none"/>
          <w:lang w:eastAsia="zh-CN"/>
        </w:rPr>
        <w:t>）</w:t>
      </w:r>
      <w:r>
        <w:rPr>
          <w:rFonts w:hint="eastAsia" w:ascii="宋体" w:hAnsi="宋体" w:cs="宋体"/>
          <w:color w:val="auto"/>
          <w:highlight w:val="none"/>
        </w:rPr>
        <w:t>；教授讲授的本科课程总门次数为</w:t>
      </w:r>
      <w:r>
        <w:rPr>
          <w:rFonts w:hint="eastAsia" w:ascii="宋体" w:hAnsi="宋体" w:cs="宋体"/>
          <w:color w:val="auto"/>
          <w:highlight w:val="none"/>
          <w:lang w:val="en-US" w:eastAsia="zh-CN"/>
        </w:rPr>
        <w:t>1421</w:t>
      </w:r>
      <w:r>
        <w:rPr>
          <w:rFonts w:hint="eastAsia" w:ascii="宋体" w:hAnsi="宋体" w:cs="宋体"/>
          <w:color w:val="auto"/>
          <w:highlight w:val="none"/>
        </w:rPr>
        <w:t>，占课程总门次数的比例为</w:t>
      </w:r>
      <w:r>
        <w:rPr>
          <w:rFonts w:hint="eastAsia" w:ascii="宋体" w:hAnsi="宋体" w:cs="宋体"/>
          <w:color w:val="auto"/>
          <w:highlight w:val="none"/>
          <w:lang w:val="en-US" w:eastAsia="zh-CN"/>
        </w:rPr>
        <w:t>15.37</w:t>
      </w:r>
      <w:r>
        <w:rPr>
          <w:rFonts w:hint="eastAsia" w:ascii="宋体" w:hAnsi="宋体" w:cs="宋体"/>
          <w:color w:val="auto"/>
          <w:highlight w:val="none"/>
        </w:rPr>
        <w:t>%（见表</w:t>
      </w:r>
      <w:r>
        <w:rPr>
          <w:rFonts w:hint="eastAsia" w:ascii="宋体" w:hAnsi="宋体" w:cs="宋体"/>
          <w:color w:val="auto"/>
          <w:highlight w:val="none"/>
          <w:lang w:val="en-US" w:eastAsia="zh-CN"/>
        </w:rPr>
        <w:t>6</w:t>
      </w:r>
      <w:r>
        <w:rPr>
          <w:rFonts w:hint="eastAsia" w:ascii="宋体" w:hAnsi="宋体" w:cs="宋体"/>
          <w:color w:val="auto"/>
          <w:highlight w:val="none"/>
        </w:rPr>
        <w:t>）。此外，一大批教授积极为本科生开设讲座，指导学生开展学科竞赛和科技活动。</w:t>
      </w:r>
      <w:bookmarkStart w:id="143" w:name="_Toc501095222"/>
      <w:r>
        <w:rPr>
          <w:rFonts w:hint="eastAsia" w:ascii="宋体" w:hAnsi="宋体" w:eastAsia="宋体"/>
          <w:color w:val="auto"/>
          <w:sz w:val="24"/>
          <w:szCs w:val="24"/>
          <w:highlight w:val="none"/>
        </w:rPr>
        <w:t>我校国家级、省级教学</w:t>
      </w:r>
      <w:r>
        <w:rPr>
          <w:rFonts w:hint="eastAsia" w:ascii="宋体" w:hAnsi="宋体" w:eastAsia="宋体"/>
          <w:color w:val="auto"/>
          <w:sz w:val="24"/>
          <w:szCs w:val="24"/>
          <w:highlight w:val="none"/>
          <w:u w:val="none"/>
        </w:rPr>
        <w:t>名师</w:t>
      </w:r>
      <w:r>
        <w:rPr>
          <w:rFonts w:hint="eastAsia" w:ascii="宋体" w:hAnsi="宋体" w:eastAsia="宋体"/>
          <w:color w:val="auto"/>
          <w:sz w:val="24"/>
          <w:szCs w:val="24"/>
          <w:highlight w:val="none"/>
          <w:u w:val="none"/>
          <w:lang w:val="en-US" w:eastAsia="zh-CN"/>
        </w:rPr>
        <w:t>3</w:t>
      </w:r>
      <w:r>
        <w:rPr>
          <w:rFonts w:hint="eastAsia" w:ascii="宋体" w:hAnsi="宋体" w:eastAsia="宋体"/>
          <w:color w:val="auto"/>
          <w:sz w:val="24"/>
          <w:szCs w:val="24"/>
          <w:highlight w:val="none"/>
          <w:u w:val="none"/>
        </w:rPr>
        <w:t>人</w:t>
      </w:r>
      <w:r>
        <w:rPr>
          <w:rFonts w:hint="eastAsia" w:ascii="宋体" w:hAnsi="宋体" w:eastAsia="宋体"/>
          <w:color w:val="auto"/>
          <w:sz w:val="24"/>
          <w:szCs w:val="24"/>
          <w:highlight w:val="none"/>
        </w:rPr>
        <w:t>，本学年</w:t>
      </w:r>
      <w:r>
        <w:rPr>
          <w:rFonts w:hint="eastAsia" w:ascii="宋体" w:hAnsi="宋体"/>
          <w:color w:val="auto"/>
          <w:sz w:val="24"/>
          <w:szCs w:val="24"/>
          <w:highlight w:val="none"/>
          <w:lang w:val="en-US" w:eastAsia="zh-CN"/>
        </w:rPr>
        <w:t>均</w:t>
      </w:r>
      <w:r>
        <w:rPr>
          <w:rFonts w:hint="eastAsia" w:ascii="宋体" w:hAnsi="宋体" w:eastAsia="宋体"/>
          <w:color w:val="auto"/>
          <w:sz w:val="24"/>
          <w:szCs w:val="24"/>
          <w:highlight w:val="none"/>
        </w:rPr>
        <w:t>主讲本科课程。</w:t>
      </w:r>
    </w:p>
    <w:p>
      <w:pPr>
        <w:pStyle w:val="6"/>
        <w:spacing w:before="156" w:beforeLines="50" w:after="156" w:afterLines="50" w:line="240" w:lineRule="auto"/>
        <w:ind w:firstLine="0" w:firstLineChars="0"/>
        <w:jc w:val="center"/>
        <w:rPr>
          <w:rFonts w:ascii="宋体" w:hAnsi="宋体" w:eastAsia="宋体" w:cs="宋体"/>
          <w:color w:val="auto"/>
          <w:sz w:val="21"/>
          <w:szCs w:val="21"/>
          <w:highlight w:val="none"/>
        </w:rPr>
      </w:pPr>
      <w:bookmarkStart w:id="144" w:name="_Toc88218483"/>
      <w:r>
        <w:rPr>
          <w:rFonts w:hint="eastAsia" w:ascii="宋体" w:hAnsi="宋体" w:eastAsia="宋体" w:cs="宋体"/>
          <w:color w:val="auto"/>
          <w:sz w:val="21"/>
          <w:szCs w:val="21"/>
          <w:highlight w:val="none"/>
        </w:rPr>
        <w:t>表</w:t>
      </w:r>
      <w:bookmarkStart w:id="145" w:name="_Toc12591"/>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 xml:space="preserve"> 教授为本科生授课情况</w:t>
      </w:r>
      <w:bookmarkEnd w:id="143"/>
      <w:bookmarkEnd w:id="144"/>
      <w:bookmarkEnd w:id="145"/>
    </w:p>
    <w:tbl>
      <w:tblPr>
        <w:tblStyle w:val="18"/>
        <w:tblW w:w="488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7"/>
        <w:gridCol w:w="2569"/>
        <w:gridCol w:w="4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971" w:type="pct"/>
            <w:vAlign w:val="center"/>
          </w:tcPr>
          <w:p>
            <w:pPr>
              <w:widowControl/>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教授人数</w:t>
            </w:r>
          </w:p>
        </w:tc>
        <w:tc>
          <w:tcPr>
            <w:tcW w:w="1543" w:type="pct"/>
            <w:vAlign w:val="center"/>
          </w:tcPr>
          <w:p>
            <w:pPr>
              <w:widowControl/>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为本科生上课的教授人数</w:t>
            </w:r>
          </w:p>
        </w:tc>
        <w:tc>
          <w:tcPr>
            <w:tcW w:w="2486" w:type="pct"/>
            <w:vAlign w:val="center"/>
          </w:tcPr>
          <w:p>
            <w:pPr>
              <w:widowControl/>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为本科生上课的教授占教授人数的比例（%）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971" w:type="pct"/>
            <w:vAlign w:val="center"/>
          </w:tcPr>
          <w:p>
            <w:pPr>
              <w:widowControl/>
              <w:spacing w:line="360" w:lineRule="exact"/>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384</w:t>
            </w:r>
          </w:p>
        </w:tc>
        <w:tc>
          <w:tcPr>
            <w:tcW w:w="1543" w:type="pct"/>
            <w:vAlign w:val="center"/>
          </w:tcPr>
          <w:p>
            <w:pPr>
              <w:widowControl/>
              <w:spacing w:line="360" w:lineRule="exact"/>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361</w:t>
            </w:r>
          </w:p>
        </w:tc>
        <w:tc>
          <w:tcPr>
            <w:tcW w:w="2486" w:type="pct"/>
            <w:vAlign w:val="center"/>
          </w:tcPr>
          <w:p>
            <w:pPr>
              <w:widowControl/>
              <w:spacing w:line="360" w:lineRule="exact"/>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1" w:type="pct"/>
            <w:vAlign w:val="center"/>
          </w:tcPr>
          <w:p>
            <w:pPr>
              <w:widowControl/>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课程总门次数</w:t>
            </w:r>
          </w:p>
        </w:tc>
        <w:tc>
          <w:tcPr>
            <w:tcW w:w="1543" w:type="pct"/>
            <w:vAlign w:val="center"/>
          </w:tcPr>
          <w:p>
            <w:pPr>
              <w:widowControl/>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教授主讲课程门次数</w:t>
            </w:r>
          </w:p>
        </w:tc>
        <w:tc>
          <w:tcPr>
            <w:tcW w:w="2486" w:type="pct"/>
            <w:vAlign w:val="center"/>
          </w:tcPr>
          <w:p>
            <w:pPr>
              <w:widowControl/>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教授主讲课程门次数占总门次数的比例（%）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71" w:type="pct"/>
            <w:vAlign w:val="center"/>
          </w:tcPr>
          <w:p>
            <w:pPr>
              <w:widowControl/>
              <w:spacing w:line="360" w:lineRule="exact"/>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9243</w:t>
            </w:r>
          </w:p>
        </w:tc>
        <w:tc>
          <w:tcPr>
            <w:tcW w:w="1543" w:type="pct"/>
            <w:vAlign w:val="center"/>
          </w:tcPr>
          <w:p>
            <w:pPr>
              <w:widowControl/>
              <w:spacing w:line="360" w:lineRule="exact"/>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1421</w:t>
            </w:r>
          </w:p>
        </w:tc>
        <w:tc>
          <w:tcPr>
            <w:tcW w:w="2486" w:type="pct"/>
            <w:vAlign w:val="center"/>
          </w:tcPr>
          <w:p>
            <w:pPr>
              <w:widowControl/>
              <w:spacing w:line="360" w:lineRule="exact"/>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15.37</w:t>
            </w:r>
          </w:p>
        </w:tc>
      </w:tr>
      <w:bookmarkEnd w:id="136"/>
      <w:bookmarkEnd w:id="137"/>
    </w:tbl>
    <w:p>
      <w:pPr>
        <w:pStyle w:val="3"/>
        <w:spacing w:before="156" w:after="156"/>
        <w:rPr>
          <w:rFonts w:ascii="黑体" w:hAnsi="黑体" w:eastAsia="黑体"/>
          <w:color w:val="auto"/>
          <w:sz w:val="28"/>
        </w:rPr>
      </w:pPr>
      <w:bookmarkStart w:id="146" w:name="_Toc88218432"/>
      <w:bookmarkStart w:id="147" w:name="_Toc19683"/>
      <w:bookmarkStart w:id="148" w:name="_Toc21593"/>
      <w:bookmarkStart w:id="149" w:name="_Toc7746"/>
      <w:bookmarkStart w:id="150" w:name="_Toc89702811"/>
      <w:bookmarkStart w:id="151" w:name="_Toc88219336"/>
      <w:r>
        <w:rPr>
          <w:rFonts w:hint="eastAsia" w:ascii="黑体" w:hAnsi="黑体" w:eastAsia="黑体"/>
          <w:color w:val="auto"/>
          <w:sz w:val="28"/>
          <w:lang w:eastAsia="zh-CN"/>
        </w:rPr>
        <w:t>（</w:t>
      </w:r>
      <w:r>
        <w:rPr>
          <w:rFonts w:hint="eastAsia" w:ascii="黑体" w:hAnsi="黑体" w:eastAsia="黑体"/>
          <w:color w:val="auto"/>
          <w:sz w:val="28"/>
          <w:lang w:val="en-US" w:eastAsia="zh-CN"/>
        </w:rPr>
        <w:t>五</w:t>
      </w:r>
      <w:r>
        <w:rPr>
          <w:rFonts w:hint="eastAsia" w:ascii="黑体" w:hAnsi="黑体" w:eastAsia="黑体"/>
          <w:color w:val="auto"/>
          <w:sz w:val="28"/>
          <w:lang w:eastAsia="zh-CN"/>
        </w:rPr>
        <w:t>）</w:t>
      </w:r>
      <w:r>
        <w:rPr>
          <w:rFonts w:hint="eastAsia" w:ascii="黑体" w:hAnsi="黑体" w:eastAsia="黑体"/>
          <w:color w:val="auto"/>
          <w:sz w:val="28"/>
        </w:rPr>
        <w:t xml:space="preserve"> 实践教学</w:t>
      </w:r>
      <w:bookmarkEnd w:id="146"/>
      <w:bookmarkEnd w:id="147"/>
      <w:bookmarkEnd w:id="148"/>
      <w:bookmarkEnd w:id="149"/>
      <w:bookmarkEnd w:id="150"/>
      <w:bookmarkEnd w:id="151"/>
    </w:p>
    <w:p>
      <w:pPr>
        <w:pStyle w:val="4"/>
        <w:rPr>
          <w:color w:val="auto"/>
        </w:rPr>
      </w:pPr>
      <w:bookmarkStart w:id="152" w:name="_Toc12865"/>
      <w:bookmarkStart w:id="153" w:name="_Toc89702812"/>
      <w:bookmarkStart w:id="154" w:name="_Toc15556"/>
      <w:bookmarkStart w:id="155" w:name="_Toc88218433"/>
      <w:bookmarkStart w:id="156" w:name="_Toc31671"/>
      <w:r>
        <w:rPr>
          <w:rFonts w:hint="eastAsia"/>
          <w:color w:val="auto"/>
          <w:lang w:val="en-US" w:eastAsia="zh-CN"/>
        </w:rPr>
        <w:t xml:space="preserve">1. </w:t>
      </w:r>
      <w:r>
        <w:rPr>
          <w:rFonts w:hint="eastAsia"/>
          <w:color w:val="auto"/>
        </w:rPr>
        <w:t>实践教学体系</w:t>
      </w:r>
      <w:bookmarkEnd w:id="152"/>
      <w:bookmarkEnd w:id="153"/>
      <w:bookmarkEnd w:id="154"/>
      <w:bookmarkEnd w:id="155"/>
      <w:bookmarkEnd w:id="156"/>
    </w:p>
    <w:p>
      <w:pPr>
        <w:ind w:firstLine="480"/>
        <w:rPr>
          <w:rFonts w:ascii="宋体" w:hAnsi="宋体" w:cs="宋体"/>
          <w:color w:val="auto"/>
        </w:rPr>
      </w:pPr>
      <w:r>
        <w:rPr>
          <w:rFonts w:hint="eastAsia" w:ascii="宋体" w:hAnsi="宋体" w:cs="宋体"/>
          <w:color w:val="auto"/>
        </w:rPr>
        <w:t>学校构建了三阶递进五位一体实践教学体系。学校对课内实践环节（实验教学、见习、实习、学年论文、毕业设计&lt;论文&gt;）和课外实践（学科竞赛、学生创新创业项目等）进行优化重组，梳理形成实验、实习、论文、竞赛和项目五大训练样式，适应整个培养周期的实践教学体系。</w:t>
      </w:r>
      <w:r>
        <w:rPr>
          <w:rFonts w:ascii="宋体" w:hAnsi="宋体" w:cs="宋体"/>
          <w:color w:val="auto"/>
        </w:rPr>
        <w:t>五大训练样式都针对性设计了三阶递进的训练活动，其中，课内实践面向全体学生，满足学生专业实践、学术研究和综合应用能力进阶训练要求；课外实践的基础层面训练主要面向所有学生，实现行业实战能力和创新创业能力训练受益面的最大化；综合层面和发展层面训练则主要面向创新创业、行业实战领域有卓越追求的学生，为学生高质量发展打下基础。</w:t>
      </w:r>
    </w:p>
    <w:p>
      <w:pPr>
        <w:pStyle w:val="4"/>
        <w:rPr>
          <w:rFonts w:ascii="黑体" w:hAnsi="黑体" w:cs="黑体"/>
          <w:color w:val="auto"/>
        </w:rPr>
      </w:pPr>
      <w:bookmarkStart w:id="157" w:name="_Toc89702813"/>
      <w:bookmarkStart w:id="158" w:name="_Toc16890"/>
      <w:bookmarkStart w:id="159" w:name="_Toc22752"/>
      <w:bookmarkStart w:id="160" w:name="_Toc88218434"/>
      <w:bookmarkStart w:id="161" w:name="_Toc2472"/>
      <w:r>
        <w:rPr>
          <w:rFonts w:hint="eastAsia" w:ascii="黑体" w:hAnsi="黑体" w:cs="黑体"/>
          <w:color w:val="auto"/>
          <w:lang w:val="en-US" w:eastAsia="zh-CN"/>
        </w:rPr>
        <w:t>2.</w:t>
      </w:r>
      <w:r>
        <w:rPr>
          <w:rFonts w:hint="eastAsia" w:ascii="黑体" w:hAnsi="黑体" w:cs="黑体"/>
          <w:color w:val="auto"/>
        </w:rPr>
        <w:t>实验教学</w:t>
      </w:r>
      <w:bookmarkEnd w:id="157"/>
      <w:bookmarkEnd w:id="158"/>
      <w:bookmarkEnd w:id="159"/>
      <w:bookmarkEnd w:id="160"/>
      <w:bookmarkEnd w:id="161"/>
    </w:p>
    <w:p>
      <w:pPr>
        <w:ind w:firstLine="480"/>
        <w:rPr>
          <w:rFonts w:ascii="宋体" w:hAnsi="宋体" w:cs="宋体"/>
          <w:color w:val="auto"/>
        </w:rPr>
      </w:pPr>
      <w:r>
        <w:rPr>
          <w:rFonts w:hint="eastAsia" w:ascii="宋体" w:hAnsi="宋体" w:cs="宋体"/>
          <w:color w:val="auto"/>
        </w:rPr>
        <w:t>加强实验教学资源建设。为强化师范生教学技能培养，学校新建教师教育实验实训中心，包括大数据中心、云课堂、智慧微格教室、情景模拟微格教室、评价互动室、智慧教室、智能数字书法实训室、语音实训室等八大项目，集大数据存储分析、课堂教学分析、教育资源对接等功能，一站式解决书写实训、语言实训、现代教育技术实训、组织教学实训、教学设计实训五大教师基本功训练，构建面向多学科、多专业的开放共享式实验（实训）中心。截止目前，我校共有本科实验场所</w:t>
      </w:r>
      <w:r>
        <w:rPr>
          <w:rFonts w:hint="eastAsia" w:ascii="宋体" w:hAnsi="宋体" w:cs="宋体"/>
          <w:color w:val="auto"/>
          <w:lang w:val="en-US" w:eastAsia="zh-CN"/>
        </w:rPr>
        <w:t>791</w:t>
      </w:r>
      <w:r>
        <w:rPr>
          <w:rFonts w:hint="eastAsia" w:ascii="宋体" w:hAnsi="宋体" w:cs="宋体"/>
          <w:color w:val="auto"/>
        </w:rPr>
        <w:t>个。20</w:t>
      </w:r>
      <w:r>
        <w:rPr>
          <w:rFonts w:ascii="宋体" w:hAnsi="宋体" w:cs="宋体"/>
          <w:color w:val="auto"/>
        </w:rPr>
        <w:t>2</w:t>
      </w:r>
      <w:r>
        <w:rPr>
          <w:rFonts w:hint="eastAsia" w:ascii="宋体" w:hAnsi="宋体" w:cs="宋体"/>
          <w:color w:val="auto"/>
          <w:lang w:val="en-US" w:eastAsia="zh-CN"/>
        </w:rPr>
        <w:t>2</w:t>
      </w:r>
      <w:r>
        <w:rPr>
          <w:rFonts w:hint="eastAsia" w:ascii="宋体" w:hAnsi="宋体" w:cs="宋体"/>
          <w:color w:val="auto"/>
        </w:rPr>
        <w:t>-20</w:t>
      </w:r>
      <w:r>
        <w:rPr>
          <w:rFonts w:ascii="宋体" w:hAnsi="宋体" w:cs="宋体"/>
          <w:color w:val="auto"/>
        </w:rPr>
        <w:t>2</w:t>
      </w:r>
      <w:r>
        <w:rPr>
          <w:rFonts w:hint="eastAsia" w:ascii="宋体" w:hAnsi="宋体" w:cs="宋体"/>
          <w:color w:val="auto"/>
          <w:lang w:val="en-US" w:eastAsia="zh-CN"/>
        </w:rPr>
        <w:t>3</w:t>
      </w:r>
      <w:r>
        <w:rPr>
          <w:rFonts w:hint="eastAsia" w:ascii="宋体" w:hAnsi="宋体" w:cs="宋体"/>
          <w:color w:val="auto"/>
        </w:rPr>
        <w:t>学年，学校面向本科生开设专业实验课程共计</w:t>
      </w:r>
      <w:r>
        <w:rPr>
          <w:rFonts w:hint="eastAsia" w:ascii="宋体" w:hAnsi="宋体" w:cs="宋体"/>
          <w:color w:val="auto"/>
          <w:szCs w:val="24"/>
          <w:lang w:val="en-US" w:eastAsia="zh-CN"/>
        </w:rPr>
        <w:t>800</w:t>
      </w:r>
      <w:r>
        <w:rPr>
          <w:rFonts w:hint="eastAsia" w:ascii="宋体" w:hAnsi="宋体" w:cs="宋体"/>
          <w:color w:val="auto"/>
        </w:rPr>
        <w:t>门次，其中独立设置的实验课程</w:t>
      </w:r>
      <w:r>
        <w:rPr>
          <w:rFonts w:hint="eastAsia" w:ascii="宋体" w:hAnsi="宋体" w:cs="宋体"/>
          <w:color w:val="auto"/>
          <w:lang w:val="en-US" w:eastAsia="zh-CN"/>
        </w:rPr>
        <w:t>106</w:t>
      </w:r>
      <w:r>
        <w:rPr>
          <w:rFonts w:hint="eastAsia" w:ascii="宋体" w:hAnsi="宋体" w:cs="宋体"/>
          <w:color w:val="auto"/>
        </w:rPr>
        <w:t>门。</w:t>
      </w:r>
    </w:p>
    <w:p>
      <w:pPr>
        <w:pStyle w:val="4"/>
        <w:rPr>
          <w:rFonts w:ascii="黑体" w:hAnsi="黑体" w:cs="黑体"/>
          <w:color w:val="auto"/>
        </w:rPr>
      </w:pPr>
      <w:bookmarkStart w:id="162" w:name="_Toc89702814"/>
      <w:bookmarkStart w:id="163" w:name="_Toc88218435"/>
      <w:bookmarkStart w:id="164" w:name="_Toc5951"/>
      <w:bookmarkStart w:id="165" w:name="_Toc14440"/>
      <w:bookmarkStart w:id="166" w:name="_Toc9885"/>
      <w:r>
        <w:rPr>
          <w:rFonts w:hint="eastAsia" w:ascii="黑体" w:hAnsi="黑体" w:cs="黑体"/>
          <w:color w:val="auto"/>
          <w:lang w:val="en-US" w:eastAsia="zh-CN"/>
        </w:rPr>
        <w:t>3.</w:t>
      </w:r>
      <w:r>
        <w:rPr>
          <w:rFonts w:hint="eastAsia" w:ascii="黑体" w:hAnsi="黑体" w:cs="黑体"/>
          <w:color w:val="auto"/>
        </w:rPr>
        <w:t>实习实践</w:t>
      </w:r>
      <w:bookmarkEnd w:id="162"/>
      <w:bookmarkEnd w:id="163"/>
      <w:bookmarkEnd w:id="164"/>
      <w:bookmarkEnd w:id="165"/>
      <w:bookmarkEnd w:id="166"/>
    </w:p>
    <w:p>
      <w:pPr>
        <w:ind w:firstLine="480"/>
        <w:rPr>
          <w:rFonts w:ascii="宋体" w:hAnsi="宋体" w:cs="宋体"/>
          <w:color w:val="auto"/>
          <w:highlight w:val="none"/>
        </w:rPr>
      </w:pPr>
      <w:r>
        <w:rPr>
          <w:rFonts w:hint="eastAsia" w:ascii="宋体" w:hAnsi="宋体" w:cs="宋体"/>
          <w:color w:val="auto"/>
          <w:highlight w:val="none"/>
        </w:rPr>
        <w:t>2022-2023学年，学校共有4750名学生参加专业实习，其中师范专业学生1613名，集中在112所中小学、幼儿园参加教育实习；非师范专业学生3137名，集中在1840家企事业单位开展专业实习。为提高师范生教学技能，学校组织师范生教学技能训练和全员达标考核，学生达标合格后方能进入中小学校进行教育实习，首轮考核达标率为99.6%。</w:t>
      </w:r>
      <w:r>
        <w:rPr>
          <w:rFonts w:hint="eastAsia" w:ascii="宋体" w:hAnsi="宋体" w:cs="宋体"/>
          <w:color w:val="auto"/>
        </w:rPr>
        <w:t>学校建有国家级、省级、校级、院级不同层级的大学生校外实践教育基地</w:t>
      </w:r>
      <w:r>
        <w:rPr>
          <w:rFonts w:hint="eastAsia" w:ascii="宋体" w:hAnsi="宋体" w:cs="宋体"/>
          <w:color w:val="auto"/>
          <w:highlight w:val="none"/>
        </w:rPr>
        <w:t>625个，本学年共接纳学生35112人次。其中，国家级大学生校外实践教育基地1个，省级大学生校外实践教育基地</w:t>
      </w:r>
      <w:r>
        <w:rPr>
          <w:rFonts w:hint="eastAsia" w:ascii="宋体" w:hAnsi="宋体" w:cs="宋体"/>
          <w:color w:val="auto"/>
          <w:highlight w:val="none"/>
          <w:lang w:val="en-US" w:eastAsia="zh-CN"/>
        </w:rPr>
        <w:t>11</w:t>
      </w:r>
      <w:r>
        <w:rPr>
          <w:rFonts w:hint="eastAsia" w:ascii="宋体" w:hAnsi="宋体" w:cs="宋体"/>
          <w:color w:val="auto"/>
          <w:highlight w:val="none"/>
        </w:rPr>
        <w:t>个，省级示范教师发展学校28所，浙江省产教融合“五个一批”获批项目1个。学校积极推进政府主导下的教师发展学校建设，与中小学（幼儿园、特教学校）开展更加深入的全方位合作。依托教师发展学校，师范生实习实施双导师制，由学校教师带队指导，同时每名师范生均配备1-2名中小学校教师为指导老师。202</w:t>
      </w:r>
      <w:r>
        <w:rPr>
          <w:rFonts w:hint="eastAsia" w:ascii="宋体" w:hAnsi="宋体" w:cs="宋体"/>
          <w:color w:val="auto"/>
          <w:highlight w:val="none"/>
          <w:lang w:val="en-US" w:eastAsia="zh-CN"/>
        </w:rPr>
        <w:t>2</w:t>
      </w:r>
      <w:r>
        <w:rPr>
          <w:rFonts w:hint="eastAsia" w:ascii="宋体" w:hAnsi="宋体" w:cs="宋体"/>
          <w:color w:val="auto"/>
          <w:highlight w:val="none"/>
        </w:rPr>
        <w:t>-202</w:t>
      </w:r>
      <w:r>
        <w:rPr>
          <w:rFonts w:hint="eastAsia" w:ascii="宋体" w:hAnsi="宋体" w:cs="宋体"/>
          <w:color w:val="auto"/>
          <w:highlight w:val="none"/>
          <w:lang w:val="en-US" w:eastAsia="zh-CN"/>
        </w:rPr>
        <w:t>3</w:t>
      </w:r>
      <w:r>
        <w:rPr>
          <w:rFonts w:hint="eastAsia" w:ascii="宋体" w:hAnsi="宋体" w:cs="宋体"/>
          <w:color w:val="auto"/>
          <w:highlight w:val="none"/>
        </w:rPr>
        <w:t>学年，共聘请</w:t>
      </w:r>
      <w:r>
        <w:rPr>
          <w:rFonts w:hint="eastAsia" w:ascii="宋体" w:hAnsi="宋体" w:cs="宋体"/>
          <w:color w:val="auto"/>
          <w:highlight w:val="none"/>
          <w:lang w:val="en-US" w:eastAsia="zh-CN"/>
        </w:rPr>
        <w:t>1784</w:t>
      </w:r>
      <w:r>
        <w:rPr>
          <w:rFonts w:hint="eastAsia" w:ascii="宋体" w:hAnsi="宋体" w:cs="宋体"/>
          <w:color w:val="auto"/>
          <w:highlight w:val="none"/>
        </w:rPr>
        <w:t>名中小学教师担任实习指导教师。</w:t>
      </w:r>
    </w:p>
    <w:p>
      <w:pPr>
        <w:pStyle w:val="4"/>
        <w:rPr>
          <w:rFonts w:ascii="黑体" w:hAnsi="黑体" w:cs="黑体"/>
          <w:color w:val="auto"/>
        </w:rPr>
      </w:pPr>
      <w:bookmarkStart w:id="167" w:name="_Toc4977"/>
      <w:bookmarkStart w:id="168" w:name="_Toc31030"/>
      <w:bookmarkStart w:id="169" w:name="_Toc8814"/>
      <w:bookmarkStart w:id="170" w:name="_Toc88218436"/>
      <w:bookmarkStart w:id="171" w:name="_Toc89702815"/>
      <w:r>
        <w:rPr>
          <w:rFonts w:hint="eastAsia" w:ascii="黑体" w:hAnsi="黑体" w:cs="黑体"/>
          <w:color w:val="auto"/>
        </w:rPr>
        <w:t>4.毕业设计（论文）</w:t>
      </w:r>
      <w:bookmarkEnd w:id="167"/>
      <w:bookmarkEnd w:id="168"/>
      <w:bookmarkEnd w:id="169"/>
      <w:bookmarkEnd w:id="170"/>
      <w:bookmarkEnd w:id="171"/>
    </w:p>
    <w:p>
      <w:pPr>
        <w:ind w:firstLine="480"/>
        <w:rPr>
          <w:rFonts w:ascii="宋体" w:hAnsi="宋体" w:cs="宋体"/>
          <w:color w:val="auto"/>
          <w:highlight w:val="none"/>
        </w:rPr>
      </w:pPr>
      <w:r>
        <w:rPr>
          <w:rFonts w:hint="eastAsia" w:ascii="宋体" w:hAnsi="宋体" w:cs="宋体"/>
          <w:color w:val="auto"/>
          <w:highlight w:val="none"/>
        </w:rPr>
        <w:t>202</w:t>
      </w:r>
      <w:r>
        <w:rPr>
          <w:rFonts w:hint="eastAsia" w:ascii="宋体" w:hAnsi="宋体" w:cs="宋体"/>
          <w:color w:val="auto"/>
          <w:highlight w:val="none"/>
          <w:lang w:val="en-US" w:eastAsia="zh-CN"/>
        </w:rPr>
        <w:t>3</w:t>
      </w:r>
      <w:r>
        <w:rPr>
          <w:rFonts w:hint="eastAsia" w:ascii="宋体" w:hAnsi="宋体" w:cs="宋体"/>
          <w:color w:val="auto"/>
          <w:highlight w:val="none"/>
        </w:rPr>
        <w:t>届共有</w:t>
      </w:r>
      <w:r>
        <w:rPr>
          <w:rFonts w:hint="eastAsia" w:ascii="宋体" w:hAnsi="宋体" w:cs="宋体"/>
          <w:color w:val="auto"/>
          <w:highlight w:val="none"/>
          <w:lang w:val="en-US" w:eastAsia="zh-CN"/>
        </w:rPr>
        <w:t>4975</w:t>
      </w:r>
      <w:r>
        <w:rPr>
          <w:rFonts w:hint="eastAsia" w:ascii="宋体" w:hAnsi="宋体" w:cs="宋体"/>
          <w:color w:val="auto"/>
          <w:highlight w:val="none"/>
        </w:rPr>
        <w:t>名</w:t>
      </w:r>
      <w:r>
        <w:rPr>
          <w:rFonts w:hint="eastAsia" w:ascii="宋体" w:hAnsi="宋体" w:cs="宋体"/>
          <w:color w:val="auto"/>
          <w:highlight w:val="none"/>
          <w:lang w:val="en-US" w:eastAsia="zh-CN"/>
        </w:rPr>
        <w:t>本科</w:t>
      </w:r>
      <w:r>
        <w:rPr>
          <w:rFonts w:hint="eastAsia" w:ascii="宋体" w:hAnsi="宋体" w:cs="宋体"/>
          <w:color w:val="auto"/>
          <w:highlight w:val="none"/>
        </w:rPr>
        <w:t>生开展毕业设计（论文），毕业设计（论文）选题均为一人一题，</w:t>
      </w:r>
      <w:r>
        <w:rPr>
          <w:rFonts w:hint="eastAsia" w:ascii="宋体" w:hAnsi="宋体" w:cs="宋体"/>
          <w:color w:val="auto"/>
          <w:highlight w:val="none"/>
          <w:lang w:val="en-US" w:eastAsia="zh-CN"/>
        </w:rPr>
        <w:t>4975</w:t>
      </w:r>
      <w:r>
        <w:rPr>
          <w:rFonts w:hint="eastAsia" w:ascii="宋体" w:hAnsi="宋体" w:cs="宋体"/>
          <w:color w:val="auto"/>
          <w:highlight w:val="none"/>
        </w:rPr>
        <w:t>个课题中有</w:t>
      </w:r>
      <w:r>
        <w:rPr>
          <w:rFonts w:hint="eastAsia" w:ascii="宋体" w:hAnsi="宋体" w:cs="宋体"/>
          <w:color w:val="auto"/>
          <w:highlight w:val="none"/>
          <w:lang w:val="en-US" w:eastAsia="zh-CN"/>
        </w:rPr>
        <w:t>913</w:t>
      </w:r>
      <w:r>
        <w:rPr>
          <w:rFonts w:hint="eastAsia" w:ascii="宋体" w:hAnsi="宋体" w:cs="宋体"/>
          <w:color w:val="auto"/>
          <w:highlight w:val="none"/>
        </w:rPr>
        <w:t>项社会实践</w:t>
      </w:r>
      <w:r>
        <w:rPr>
          <w:rFonts w:hint="eastAsia" w:ascii="宋体" w:hAnsi="宋体" w:cs="宋体"/>
          <w:color w:val="auto"/>
          <w:highlight w:val="none"/>
          <w:lang w:eastAsia="zh-CN"/>
        </w:rPr>
        <w:t>、</w:t>
      </w:r>
      <w:r>
        <w:rPr>
          <w:rFonts w:hint="eastAsia" w:ascii="宋体" w:hAnsi="宋体" w:cs="宋体"/>
          <w:color w:val="auto"/>
          <w:highlight w:val="none"/>
          <w:lang w:val="en-US" w:eastAsia="zh-CN"/>
        </w:rPr>
        <w:t>3292</w:t>
      </w:r>
      <w:r>
        <w:rPr>
          <w:rFonts w:hint="eastAsia" w:ascii="宋体" w:hAnsi="宋体" w:cs="宋体"/>
          <w:color w:val="auto"/>
          <w:highlight w:val="none"/>
        </w:rPr>
        <w:t>项理论研究</w:t>
      </w:r>
      <w:r>
        <w:rPr>
          <w:rFonts w:hint="eastAsia" w:ascii="宋体" w:hAnsi="宋体" w:cs="宋体"/>
          <w:color w:val="auto"/>
          <w:highlight w:val="none"/>
          <w:lang w:eastAsia="zh-CN"/>
        </w:rPr>
        <w:t>、</w:t>
      </w:r>
      <w:r>
        <w:rPr>
          <w:rFonts w:hint="eastAsia" w:ascii="宋体" w:hAnsi="宋体" w:cs="宋体"/>
          <w:color w:val="auto"/>
          <w:highlight w:val="none"/>
          <w:lang w:val="en-US" w:eastAsia="zh-CN"/>
        </w:rPr>
        <w:t>295</w:t>
      </w:r>
      <w:r>
        <w:rPr>
          <w:rFonts w:hint="eastAsia" w:ascii="宋体" w:hAnsi="宋体" w:cs="宋体"/>
          <w:color w:val="auto"/>
          <w:highlight w:val="none"/>
        </w:rPr>
        <w:t>项实验研究</w:t>
      </w:r>
      <w:r>
        <w:rPr>
          <w:rFonts w:hint="eastAsia" w:ascii="宋体" w:hAnsi="宋体" w:cs="宋体"/>
          <w:color w:val="auto"/>
          <w:highlight w:val="none"/>
          <w:lang w:eastAsia="zh-CN"/>
        </w:rPr>
        <w:t>、</w:t>
      </w:r>
      <w:r>
        <w:rPr>
          <w:rFonts w:hint="eastAsia" w:ascii="宋体" w:hAnsi="宋体" w:cs="宋体"/>
          <w:color w:val="auto"/>
          <w:highlight w:val="none"/>
          <w:lang w:val="en-US" w:eastAsia="zh-CN"/>
        </w:rPr>
        <w:t>232</w:t>
      </w:r>
      <w:r>
        <w:rPr>
          <w:rFonts w:hint="eastAsia" w:ascii="宋体" w:hAnsi="宋体" w:cs="宋体"/>
          <w:color w:val="auto"/>
          <w:highlight w:val="none"/>
        </w:rPr>
        <w:t>项软件开发</w:t>
      </w:r>
      <w:r>
        <w:rPr>
          <w:rFonts w:hint="eastAsia" w:ascii="宋体" w:hAnsi="宋体" w:cs="宋体"/>
          <w:color w:val="auto"/>
          <w:highlight w:val="none"/>
          <w:lang w:eastAsia="zh-CN"/>
        </w:rPr>
        <w:t>、</w:t>
      </w:r>
      <w:r>
        <w:rPr>
          <w:rFonts w:hint="eastAsia" w:ascii="宋体" w:hAnsi="宋体" w:cs="宋体"/>
          <w:color w:val="auto"/>
          <w:highlight w:val="none"/>
          <w:lang w:val="en-US" w:eastAsia="zh-CN"/>
        </w:rPr>
        <w:t>145</w:t>
      </w:r>
      <w:r>
        <w:rPr>
          <w:rFonts w:hint="eastAsia" w:ascii="宋体" w:hAnsi="宋体" w:cs="宋体"/>
          <w:color w:val="auto"/>
          <w:highlight w:val="none"/>
        </w:rPr>
        <w:t>项工程设计</w:t>
      </w:r>
      <w:r>
        <w:rPr>
          <w:rFonts w:hint="eastAsia" w:ascii="宋体" w:hAnsi="宋体" w:cs="宋体"/>
          <w:color w:val="auto"/>
          <w:highlight w:val="none"/>
          <w:lang w:eastAsia="zh-CN"/>
        </w:rPr>
        <w:t>、</w:t>
      </w:r>
      <w:r>
        <w:rPr>
          <w:rFonts w:hint="eastAsia" w:ascii="宋体" w:hAnsi="宋体" w:cs="宋体"/>
          <w:color w:val="auto"/>
          <w:highlight w:val="none"/>
          <w:lang w:val="en-US" w:eastAsia="zh-CN"/>
        </w:rPr>
        <w:t>98</w:t>
      </w:r>
      <w:r>
        <w:rPr>
          <w:rFonts w:hint="eastAsia" w:ascii="宋体" w:hAnsi="宋体" w:cs="宋体"/>
          <w:color w:val="auto"/>
          <w:highlight w:val="none"/>
        </w:rPr>
        <w:t>项毕业创作。202</w:t>
      </w:r>
      <w:r>
        <w:rPr>
          <w:rFonts w:hint="eastAsia" w:ascii="宋体" w:hAnsi="宋体" w:cs="宋体"/>
          <w:color w:val="auto"/>
          <w:highlight w:val="none"/>
          <w:lang w:val="en-US" w:eastAsia="zh-CN"/>
        </w:rPr>
        <w:t>2</w:t>
      </w:r>
      <w:r>
        <w:rPr>
          <w:rFonts w:hint="eastAsia" w:ascii="宋体" w:hAnsi="宋体" w:cs="宋体"/>
          <w:color w:val="auto"/>
          <w:highlight w:val="none"/>
        </w:rPr>
        <w:t>-202</w:t>
      </w:r>
      <w:r>
        <w:rPr>
          <w:rFonts w:hint="eastAsia" w:ascii="宋体" w:hAnsi="宋体" w:cs="宋体"/>
          <w:color w:val="auto"/>
          <w:highlight w:val="none"/>
          <w:lang w:val="en-US" w:eastAsia="zh-CN"/>
        </w:rPr>
        <w:t>3</w:t>
      </w:r>
      <w:r>
        <w:rPr>
          <w:rFonts w:hint="eastAsia" w:ascii="宋体" w:hAnsi="宋体" w:cs="宋体"/>
          <w:color w:val="auto"/>
          <w:highlight w:val="none"/>
        </w:rPr>
        <w:t>学年，共有</w:t>
      </w:r>
      <w:r>
        <w:rPr>
          <w:rFonts w:hint="eastAsia" w:ascii="宋体" w:hAnsi="宋体" w:cs="宋体"/>
          <w:color w:val="auto"/>
          <w:highlight w:val="none"/>
          <w:lang w:val="en-US" w:eastAsia="zh-CN"/>
        </w:rPr>
        <w:t>1042</w:t>
      </w:r>
      <w:r>
        <w:rPr>
          <w:rFonts w:hint="eastAsia" w:ascii="宋体" w:hAnsi="宋体" w:cs="宋体"/>
          <w:color w:val="auto"/>
          <w:highlight w:val="none"/>
        </w:rPr>
        <w:t>名教师参与了202</w:t>
      </w:r>
      <w:r>
        <w:rPr>
          <w:rFonts w:hint="eastAsia" w:ascii="宋体" w:hAnsi="宋体" w:cs="宋体"/>
          <w:color w:val="auto"/>
          <w:highlight w:val="none"/>
          <w:lang w:val="en-US" w:eastAsia="zh-CN"/>
        </w:rPr>
        <w:t>3</w:t>
      </w:r>
      <w:r>
        <w:rPr>
          <w:rFonts w:hint="eastAsia" w:ascii="宋体" w:hAnsi="宋体" w:cs="宋体"/>
          <w:color w:val="auto"/>
          <w:highlight w:val="none"/>
        </w:rPr>
        <w:t>届本科生毕业设计（论文）的指导工作，平均每位教师指导学生人数为4.</w:t>
      </w:r>
      <w:r>
        <w:rPr>
          <w:rFonts w:hint="eastAsia" w:ascii="宋体" w:hAnsi="宋体" w:cs="宋体"/>
          <w:color w:val="auto"/>
          <w:highlight w:val="none"/>
          <w:lang w:val="en-US" w:eastAsia="zh-CN"/>
        </w:rPr>
        <w:t>77</w:t>
      </w:r>
      <w:r>
        <w:rPr>
          <w:rFonts w:hint="eastAsia" w:ascii="宋体" w:hAnsi="宋体" w:cs="宋体"/>
          <w:color w:val="auto"/>
          <w:highlight w:val="none"/>
        </w:rPr>
        <w:t>人。指导教师中具有高级职称的教师</w:t>
      </w:r>
      <w:r>
        <w:rPr>
          <w:rFonts w:hint="eastAsia" w:ascii="宋体" w:hAnsi="宋体" w:cs="宋体"/>
          <w:color w:val="auto"/>
          <w:highlight w:val="none"/>
          <w:lang w:val="en-US" w:eastAsia="zh-CN"/>
        </w:rPr>
        <w:t>516人，</w:t>
      </w:r>
      <w:r>
        <w:rPr>
          <w:rFonts w:hint="eastAsia" w:ascii="宋体" w:hAnsi="宋体" w:cs="宋体"/>
          <w:color w:val="auto"/>
          <w:highlight w:val="none"/>
        </w:rPr>
        <w:t>占比</w:t>
      </w:r>
      <w:r>
        <w:rPr>
          <w:rFonts w:hint="eastAsia" w:ascii="宋体" w:hAnsi="宋体" w:cs="宋体"/>
          <w:color w:val="auto"/>
          <w:highlight w:val="none"/>
          <w:lang w:val="en-US" w:eastAsia="zh-CN"/>
        </w:rPr>
        <w:t>49.5</w:t>
      </w:r>
      <w:r>
        <w:rPr>
          <w:rFonts w:hint="eastAsia" w:ascii="宋体" w:hAnsi="宋体" w:cs="宋体"/>
          <w:color w:val="auto"/>
          <w:highlight w:val="none"/>
        </w:rPr>
        <w:t>%。</w:t>
      </w:r>
    </w:p>
    <w:p>
      <w:pPr>
        <w:pStyle w:val="4"/>
        <w:rPr>
          <w:rFonts w:hint="eastAsia" w:ascii="黑体" w:hAnsi="黑体" w:cs="黑体"/>
          <w:color w:val="auto"/>
        </w:rPr>
      </w:pPr>
      <w:bookmarkStart w:id="172" w:name="_Toc17495"/>
      <w:bookmarkStart w:id="173" w:name="_Toc88218438"/>
      <w:bookmarkStart w:id="174" w:name="_Toc3654"/>
      <w:bookmarkStart w:id="175" w:name="_Toc23892"/>
      <w:bookmarkStart w:id="176" w:name="_Toc89702817"/>
      <w:r>
        <w:rPr>
          <w:rFonts w:hint="eastAsia" w:ascii="黑体" w:hAnsi="黑体" w:cs="黑体"/>
          <w:color w:val="auto"/>
          <w:lang w:val="en-US" w:eastAsia="zh-CN"/>
        </w:rPr>
        <w:t>5.</w:t>
      </w:r>
      <w:r>
        <w:rPr>
          <w:rFonts w:hint="eastAsia" w:ascii="黑体" w:hAnsi="黑体" w:cs="黑体"/>
          <w:color w:val="auto"/>
        </w:rPr>
        <w:t>实践创新能力培养</w:t>
      </w:r>
      <w:bookmarkEnd w:id="172"/>
      <w:bookmarkEnd w:id="173"/>
      <w:bookmarkEnd w:id="174"/>
      <w:bookmarkEnd w:id="175"/>
      <w:bookmarkEnd w:id="176"/>
    </w:p>
    <w:p>
      <w:pPr>
        <w:ind w:firstLine="480"/>
        <w:rPr>
          <w:rFonts w:ascii="宋体" w:hAnsi="宋体" w:cs="宋体"/>
          <w:color w:val="auto"/>
          <w:highlight w:val="none"/>
        </w:rPr>
      </w:pPr>
      <w:r>
        <w:rPr>
          <w:rFonts w:hint="eastAsia" w:ascii="宋体" w:hAnsi="宋体" w:cs="宋体"/>
          <w:color w:val="auto"/>
          <w:sz w:val="24"/>
          <w:szCs w:val="24"/>
          <w:lang w:val="en-US" w:eastAsia="zh-CN"/>
        </w:rPr>
        <w:t>学校</w:t>
      </w:r>
      <w:r>
        <w:rPr>
          <w:rFonts w:ascii="宋体" w:hAnsi="宋体" w:eastAsia="宋体" w:cs="宋体"/>
          <w:color w:val="auto"/>
          <w:sz w:val="24"/>
          <w:szCs w:val="24"/>
        </w:rPr>
        <w:t>出台《推进挑战杯、互联网+系列竞赛工作实施办法》</w:t>
      </w:r>
      <w:r>
        <w:rPr>
          <w:rFonts w:hint="eastAsia" w:ascii="宋体" w:hAnsi="宋体" w:cs="宋体"/>
          <w:color w:val="auto"/>
          <w:sz w:val="24"/>
          <w:szCs w:val="24"/>
          <w:lang w:val="en-US" w:eastAsia="zh-CN"/>
        </w:rPr>
        <w:t>等激励办法，以“精进杯”“挑战杯”“互联网+大赛”等创新创业赛事为抓手，依托“星光计划”、国家级大学生创新创业训练计划等不断浓厚创新创业氛围，同时</w:t>
      </w:r>
      <w:r>
        <w:rPr>
          <w:rFonts w:hint="eastAsia" w:ascii="宋体" w:hAnsi="宋体" w:cs="宋体"/>
          <w:color w:val="auto"/>
          <w:highlight w:val="none"/>
        </w:rPr>
        <w:t>基于不同年级学生专业实践训练的需求，构建</w:t>
      </w:r>
      <w:r>
        <w:rPr>
          <w:rFonts w:hint="eastAsia" w:ascii="宋体" w:hAnsi="宋体" w:cs="宋体"/>
          <w:color w:val="auto"/>
          <w:highlight w:val="none"/>
          <w:lang w:val="en-US" w:eastAsia="zh-CN"/>
        </w:rPr>
        <w:t>院-校-省-国家</w:t>
      </w:r>
      <w:r>
        <w:rPr>
          <w:rFonts w:hint="eastAsia" w:ascii="宋体" w:hAnsi="宋体" w:cs="宋体"/>
          <w:color w:val="auto"/>
          <w:highlight w:val="none"/>
        </w:rPr>
        <w:t>多层次的学生创新实践训练体系，强化学生创新精神和实践能力的培养。20</w:t>
      </w:r>
      <w:r>
        <w:rPr>
          <w:rFonts w:ascii="宋体" w:hAnsi="宋体" w:cs="宋体"/>
          <w:color w:val="auto"/>
          <w:highlight w:val="none"/>
        </w:rPr>
        <w:t>22</w:t>
      </w:r>
      <w:r>
        <w:rPr>
          <w:rFonts w:hint="eastAsia" w:ascii="宋体" w:hAnsi="宋体" w:cs="宋体"/>
          <w:color w:val="auto"/>
          <w:highlight w:val="none"/>
        </w:rPr>
        <w:t>-202</w:t>
      </w:r>
      <w:r>
        <w:rPr>
          <w:rFonts w:hint="default" w:ascii="宋体" w:hAnsi="宋体" w:cs="宋体"/>
          <w:color w:val="auto"/>
          <w:highlight w:val="none"/>
        </w:rPr>
        <w:t>3</w:t>
      </w:r>
      <w:r>
        <w:rPr>
          <w:rFonts w:hint="eastAsia" w:ascii="宋体" w:hAnsi="宋体" w:cs="宋体"/>
          <w:color w:val="auto"/>
          <w:highlight w:val="none"/>
        </w:rPr>
        <w:t>学年，学校遴选申报并立项建设国家级大学生创新创业训练项目</w:t>
      </w:r>
      <w:r>
        <w:rPr>
          <w:rFonts w:hint="default" w:ascii="宋体" w:hAnsi="宋体" w:cs="宋体"/>
          <w:color w:val="auto"/>
          <w:highlight w:val="none"/>
        </w:rPr>
        <w:t>81</w:t>
      </w:r>
      <w:r>
        <w:rPr>
          <w:rFonts w:hint="eastAsia" w:ascii="宋体" w:hAnsi="宋体" w:cs="宋体"/>
          <w:color w:val="auto"/>
          <w:highlight w:val="none"/>
        </w:rPr>
        <w:t>项，浙江省“新苗”人才计划项目</w:t>
      </w:r>
      <w:r>
        <w:rPr>
          <w:rFonts w:hint="eastAsia" w:ascii="宋体" w:hAnsi="宋体" w:cs="宋体"/>
          <w:color w:val="auto"/>
          <w:highlight w:val="none"/>
          <w:lang w:val="en-US" w:eastAsia="zh-CN"/>
        </w:rPr>
        <w:t>76</w:t>
      </w:r>
      <w:r>
        <w:rPr>
          <w:rFonts w:hint="eastAsia" w:ascii="宋体" w:hAnsi="宋体" w:cs="宋体"/>
          <w:color w:val="auto"/>
          <w:highlight w:val="none"/>
        </w:rPr>
        <w:t>项，校级“本科生创新能力提升工程”项目26</w:t>
      </w:r>
      <w:r>
        <w:rPr>
          <w:rFonts w:ascii="宋体" w:hAnsi="宋体" w:cs="宋体"/>
          <w:color w:val="auto"/>
          <w:highlight w:val="none"/>
        </w:rPr>
        <w:t>2</w:t>
      </w:r>
      <w:r>
        <w:rPr>
          <w:rFonts w:hint="eastAsia" w:ascii="宋体" w:hAnsi="宋体" w:cs="宋体"/>
          <w:color w:val="auto"/>
          <w:highlight w:val="none"/>
        </w:rPr>
        <w:t>项。</w:t>
      </w:r>
    </w:p>
    <w:p>
      <w:pPr>
        <w:ind w:firstLine="480"/>
        <w:rPr>
          <w:rFonts w:hint="default" w:ascii="宋体" w:hAnsi="宋体" w:eastAsia="宋体" w:cs="宋体"/>
          <w:color w:val="auto"/>
          <w:highlight w:val="yellow"/>
          <w:lang w:val="en-US" w:eastAsia="zh-CN"/>
        </w:rPr>
      </w:pPr>
      <w:r>
        <w:rPr>
          <w:rFonts w:hint="eastAsia" w:ascii="宋体" w:hAnsi="宋体" w:cs="宋体"/>
          <w:color w:val="auto"/>
          <w:highlight w:val="none"/>
        </w:rPr>
        <w:t>学科竞赛经过多年发展，亦已形成一套比较完善的组织管理运行机制，为学生创新实践能力培养提供了有力支撑。</w:t>
      </w:r>
      <w:r>
        <w:rPr>
          <w:rFonts w:ascii="宋体" w:hAnsi="宋体" w:eastAsia="宋体" w:cs="宋体"/>
          <w:color w:val="auto"/>
          <w:sz w:val="24"/>
          <w:szCs w:val="24"/>
        </w:rPr>
        <w:t>2022-2023学年，学校共组织选拔并参加了80余项省级及以上的学科竞赛，覆盖98%以上的专业，全校学生共有18600余人次报名参加校内选拔，参与面达到全校学生数的74％，共有3600余人在省级、国家级学科竞赛中获奖。</w:t>
      </w:r>
    </w:p>
    <w:p>
      <w:pPr>
        <w:pStyle w:val="3"/>
        <w:spacing w:before="156" w:after="156"/>
        <w:rPr>
          <w:rFonts w:ascii="黑体" w:hAnsi="黑体" w:eastAsia="黑体"/>
          <w:color w:val="auto"/>
          <w:sz w:val="28"/>
          <w:highlight w:val="none"/>
        </w:rPr>
      </w:pPr>
      <w:bookmarkStart w:id="177" w:name="_Toc88218439"/>
      <w:bookmarkStart w:id="178" w:name="_Toc30024"/>
      <w:bookmarkStart w:id="179" w:name="_Toc3158"/>
      <w:bookmarkStart w:id="180" w:name="_Toc88219337"/>
      <w:bookmarkStart w:id="181" w:name="_Toc89702818"/>
      <w:bookmarkStart w:id="182" w:name="_Toc25914"/>
      <w:r>
        <w:rPr>
          <w:rFonts w:hint="eastAsia" w:ascii="黑体" w:hAnsi="黑体" w:eastAsia="黑体"/>
          <w:color w:val="auto"/>
          <w:sz w:val="28"/>
          <w:highlight w:val="none"/>
          <w:lang w:eastAsia="zh-CN"/>
        </w:rPr>
        <w:t>（</w:t>
      </w:r>
      <w:r>
        <w:rPr>
          <w:rFonts w:hint="eastAsia" w:ascii="黑体" w:hAnsi="黑体" w:eastAsia="黑体"/>
          <w:color w:val="auto"/>
          <w:sz w:val="28"/>
          <w:highlight w:val="none"/>
          <w:lang w:val="en-US" w:eastAsia="zh-CN"/>
        </w:rPr>
        <w:t>六</w:t>
      </w:r>
      <w:r>
        <w:rPr>
          <w:rFonts w:hint="eastAsia" w:ascii="黑体" w:hAnsi="黑体" w:eastAsia="黑体"/>
          <w:color w:val="auto"/>
          <w:sz w:val="28"/>
          <w:highlight w:val="none"/>
          <w:lang w:eastAsia="zh-CN"/>
        </w:rPr>
        <w:t>）</w:t>
      </w:r>
      <w:r>
        <w:rPr>
          <w:rFonts w:hint="eastAsia" w:ascii="黑体" w:hAnsi="黑体" w:eastAsia="黑体"/>
          <w:color w:val="auto"/>
          <w:sz w:val="28"/>
          <w:highlight w:val="none"/>
        </w:rPr>
        <w:t>艺术教育</w:t>
      </w:r>
      <w:bookmarkEnd w:id="177"/>
      <w:bookmarkEnd w:id="178"/>
      <w:bookmarkEnd w:id="179"/>
      <w:bookmarkEnd w:id="180"/>
      <w:bookmarkEnd w:id="181"/>
      <w:bookmarkEnd w:id="182"/>
    </w:p>
    <w:p>
      <w:pPr>
        <w:ind w:firstLine="480"/>
        <w:rPr>
          <w:rFonts w:ascii="宋体" w:hAnsi="宋体" w:cs="宋体"/>
          <w:color w:val="auto"/>
          <w:highlight w:val="none"/>
        </w:rPr>
      </w:pPr>
      <w:r>
        <w:rPr>
          <w:rFonts w:hint="eastAsia" w:ascii="宋体" w:hAnsi="宋体" w:cs="宋体"/>
          <w:color w:val="auto"/>
          <w:highlight w:val="none"/>
        </w:rPr>
        <w:t>学校坚持“人文学堂，艺术校园”的办学特色，强化以艺润德。积极推进公共艺术课程建设，构建“普及、提高、拓展、实践”四个类型的公共艺术教育课程体系。丰富学生课外艺术实践活动，创设“课外活动—社会实践—展演竞赛”立体式的实践体系，支持大学生艺术团、叔同艺术特长班等艺术类社团的培训和活动；强化校地合作，举办送戏下乡、送戏进中小学校园活动，与小百花越剧团合作推广戏剧建设，充分发挥全国普通高校中华优秀传统文化传承基地的积淀和辐射作用；举办大学生艺术团汇报演出、合唱汇报演出、话剧节、讲座音乐会、书画展等艺术展演活动。</w:t>
      </w:r>
    </w:p>
    <w:p>
      <w:pPr>
        <w:pStyle w:val="3"/>
        <w:spacing w:before="156" w:after="156"/>
        <w:rPr>
          <w:rFonts w:ascii="黑体" w:hAnsi="黑体" w:eastAsia="黑体"/>
          <w:color w:val="auto"/>
          <w:sz w:val="28"/>
          <w:highlight w:val="none"/>
        </w:rPr>
      </w:pPr>
      <w:bookmarkStart w:id="183" w:name="_Toc89702819"/>
      <w:bookmarkStart w:id="184" w:name="_Toc26938"/>
      <w:bookmarkStart w:id="185" w:name="_Toc2292"/>
      <w:bookmarkStart w:id="186" w:name="_Toc88219338"/>
      <w:bookmarkStart w:id="187" w:name="_Toc88218440"/>
      <w:bookmarkStart w:id="188" w:name="_Toc5644"/>
      <w:r>
        <w:rPr>
          <w:rFonts w:hint="eastAsia" w:ascii="黑体" w:hAnsi="黑体" w:eastAsia="黑体"/>
          <w:color w:val="auto"/>
          <w:sz w:val="28"/>
          <w:highlight w:val="none"/>
          <w:lang w:eastAsia="zh-CN"/>
        </w:rPr>
        <w:t>（</w:t>
      </w:r>
      <w:r>
        <w:rPr>
          <w:rFonts w:hint="eastAsia" w:ascii="黑体" w:hAnsi="黑体" w:eastAsia="黑体"/>
          <w:color w:val="auto"/>
          <w:sz w:val="28"/>
          <w:highlight w:val="none"/>
          <w:lang w:val="en-US" w:eastAsia="zh-CN"/>
        </w:rPr>
        <w:t>七</w:t>
      </w:r>
      <w:r>
        <w:rPr>
          <w:rFonts w:hint="eastAsia" w:ascii="黑体" w:hAnsi="黑体" w:eastAsia="黑体"/>
          <w:color w:val="auto"/>
          <w:sz w:val="28"/>
          <w:highlight w:val="none"/>
          <w:lang w:eastAsia="zh-CN"/>
        </w:rPr>
        <w:t>）</w:t>
      </w:r>
      <w:r>
        <w:rPr>
          <w:rFonts w:hint="eastAsia" w:ascii="黑体" w:hAnsi="黑体" w:eastAsia="黑体"/>
          <w:color w:val="auto"/>
          <w:sz w:val="28"/>
          <w:highlight w:val="none"/>
        </w:rPr>
        <w:t>合作交流</w:t>
      </w:r>
      <w:bookmarkEnd w:id="183"/>
      <w:bookmarkEnd w:id="184"/>
      <w:bookmarkEnd w:id="185"/>
      <w:bookmarkEnd w:id="186"/>
      <w:bookmarkEnd w:id="187"/>
      <w:bookmarkEnd w:id="188"/>
    </w:p>
    <w:p>
      <w:pPr>
        <w:ind w:firstLine="480"/>
        <w:rPr>
          <w:rFonts w:ascii="宋体" w:hAnsi="宋体" w:cs="宋体"/>
          <w:color w:val="auto"/>
          <w:highlight w:val="none"/>
        </w:rPr>
      </w:pPr>
      <w:r>
        <w:rPr>
          <w:rFonts w:hint="eastAsia" w:ascii="宋体" w:hAnsi="宋体" w:cs="宋体"/>
          <w:color w:val="auto"/>
          <w:highlight w:val="none"/>
        </w:rPr>
        <w:t>丰富学生“第二校园”经历。学校按照《杭州师范大学本科学生“第二校园经历”工作管理办法》，积极组织和推进长三角“交换生”与“暑期学习项目”的实施，开拓优质高校资源，引导更多学生走进“第二校园”，领略“985”、“211”高校的学术风范，共享优质教学资源，拓展视野，明晰自身发展目标。</w:t>
      </w:r>
      <w:r>
        <w:rPr>
          <w:rFonts w:hint="eastAsia" w:ascii="宋体" w:hAnsi="宋体" w:cs="宋体"/>
          <w:color w:val="auto"/>
          <w:highlight w:val="none"/>
          <w:lang w:val="en-US" w:eastAsia="zh-CN"/>
        </w:rPr>
        <w:t>前两年因</w:t>
      </w:r>
      <w:r>
        <w:rPr>
          <w:rFonts w:hint="eastAsia" w:ascii="宋体" w:hAnsi="宋体" w:cs="宋体"/>
          <w:color w:val="auto"/>
          <w:highlight w:val="none"/>
        </w:rPr>
        <w:t>受新冠肺炎疫情影响，国内多数高校暂停了交换生项目。</w:t>
      </w:r>
      <w:r>
        <w:rPr>
          <w:rFonts w:hint="eastAsia" w:ascii="宋体" w:hAnsi="宋体" w:cs="宋体"/>
          <w:color w:val="auto"/>
          <w:highlight w:val="none"/>
          <w:lang w:val="en-US" w:eastAsia="zh-CN"/>
        </w:rPr>
        <w:t>自2022年9月起，</w:t>
      </w:r>
      <w:r>
        <w:rPr>
          <w:rFonts w:hint="eastAsia" w:ascii="宋体" w:hAnsi="宋体" w:cs="宋体"/>
          <w:color w:val="auto"/>
          <w:highlight w:val="none"/>
        </w:rPr>
        <w:t>我校</w:t>
      </w:r>
      <w:r>
        <w:rPr>
          <w:rFonts w:hint="eastAsia" w:ascii="宋体" w:hAnsi="宋体" w:cs="宋体"/>
          <w:color w:val="auto"/>
          <w:highlight w:val="none"/>
          <w:lang w:val="en-US" w:eastAsia="zh-CN"/>
        </w:rPr>
        <w:t>恢复交流访学活动，</w:t>
      </w:r>
      <w:r>
        <w:rPr>
          <w:rFonts w:hint="eastAsia" w:ascii="宋体" w:hAnsi="宋体" w:cs="宋体"/>
          <w:color w:val="auto"/>
          <w:highlight w:val="none"/>
        </w:rPr>
        <w:t>共</w:t>
      </w:r>
      <w:r>
        <w:rPr>
          <w:rFonts w:hint="eastAsia" w:ascii="宋体" w:hAnsi="宋体" w:cs="宋体"/>
          <w:color w:val="auto"/>
          <w:highlight w:val="none"/>
          <w:lang w:val="en-US" w:eastAsia="zh-CN"/>
        </w:rPr>
        <w:t>13</w:t>
      </w:r>
      <w:r>
        <w:rPr>
          <w:rFonts w:hint="eastAsia" w:ascii="宋体" w:hAnsi="宋体" w:cs="宋体"/>
          <w:color w:val="auto"/>
          <w:highlight w:val="none"/>
        </w:rPr>
        <w:t>名学生</w:t>
      </w:r>
      <w:r>
        <w:rPr>
          <w:rFonts w:hint="eastAsia" w:ascii="宋体" w:hAnsi="宋体" w:cs="宋体"/>
          <w:color w:val="auto"/>
          <w:highlight w:val="none"/>
          <w:lang w:val="en-US" w:eastAsia="zh-CN"/>
        </w:rPr>
        <w:t>进入优质高校</w:t>
      </w:r>
      <w:r>
        <w:rPr>
          <w:rFonts w:hint="eastAsia" w:ascii="宋体" w:hAnsi="宋体" w:cs="宋体"/>
          <w:color w:val="auto"/>
          <w:highlight w:val="none"/>
        </w:rPr>
        <w:t>交流访</w:t>
      </w:r>
      <w:r>
        <w:rPr>
          <w:rFonts w:hint="eastAsia" w:ascii="宋体" w:hAnsi="宋体" w:cs="宋体"/>
          <w:color w:val="auto"/>
          <w:highlight w:val="none"/>
          <w:lang w:val="en-US" w:eastAsia="zh-CN"/>
        </w:rPr>
        <w:t>学</w:t>
      </w:r>
      <w:r>
        <w:rPr>
          <w:rFonts w:hint="eastAsia" w:ascii="宋体" w:hAnsi="宋体" w:cs="宋体"/>
          <w:color w:val="auto"/>
          <w:highlight w:val="none"/>
        </w:rPr>
        <w:t>；同时接收9名学生来我校</w:t>
      </w:r>
      <w:r>
        <w:rPr>
          <w:rFonts w:hint="eastAsia" w:ascii="宋体" w:hAnsi="宋体" w:cs="宋体"/>
          <w:color w:val="auto"/>
          <w:highlight w:val="none"/>
          <w:lang w:val="en-US" w:eastAsia="zh-CN"/>
        </w:rPr>
        <w:t>学习</w:t>
      </w:r>
      <w:r>
        <w:rPr>
          <w:rFonts w:hint="eastAsia" w:ascii="宋体" w:hAnsi="宋体" w:cs="宋体"/>
          <w:color w:val="auto"/>
          <w:highlight w:val="none"/>
        </w:rPr>
        <w:t>。</w:t>
      </w:r>
    </w:p>
    <w:p>
      <w:pPr>
        <w:pStyle w:val="3"/>
        <w:spacing w:before="156" w:after="156"/>
        <w:rPr>
          <w:rFonts w:ascii="黑体" w:hAnsi="黑体" w:eastAsia="黑体"/>
          <w:color w:val="auto"/>
          <w:sz w:val="28"/>
        </w:rPr>
      </w:pPr>
      <w:bookmarkStart w:id="189" w:name="_Toc26417"/>
      <w:bookmarkStart w:id="190" w:name="_Toc88219339"/>
      <w:bookmarkStart w:id="191" w:name="_Toc31463"/>
      <w:bookmarkStart w:id="192" w:name="_Toc24450"/>
      <w:bookmarkStart w:id="193" w:name="_Toc89702820"/>
      <w:bookmarkStart w:id="194" w:name="_Toc88218441"/>
      <w:r>
        <w:rPr>
          <w:rFonts w:hint="eastAsia" w:ascii="黑体" w:hAnsi="黑体" w:eastAsia="黑体"/>
          <w:color w:val="auto"/>
          <w:sz w:val="28"/>
          <w:lang w:eastAsia="zh-CN"/>
        </w:rPr>
        <w:t>（</w:t>
      </w:r>
      <w:r>
        <w:rPr>
          <w:rFonts w:hint="eastAsia" w:ascii="黑体" w:hAnsi="黑体" w:eastAsia="黑体"/>
          <w:color w:val="auto"/>
          <w:sz w:val="28"/>
          <w:lang w:val="en-US" w:eastAsia="zh-CN"/>
        </w:rPr>
        <w:t>八</w:t>
      </w:r>
      <w:r>
        <w:rPr>
          <w:rFonts w:hint="eastAsia" w:ascii="黑体" w:hAnsi="黑体" w:eastAsia="黑体"/>
          <w:color w:val="auto"/>
          <w:sz w:val="28"/>
          <w:lang w:eastAsia="zh-CN"/>
        </w:rPr>
        <w:t>）</w:t>
      </w:r>
      <w:r>
        <w:rPr>
          <w:rFonts w:hint="eastAsia" w:ascii="黑体" w:hAnsi="黑体" w:eastAsia="黑体"/>
          <w:color w:val="auto"/>
          <w:sz w:val="28"/>
        </w:rPr>
        <w:t>教改成果</w:t>
      </w:r>
      <w:bookmarkEnd w:id="189"/>
      <w:bookmarkEnd w:id="190"/>
      <w:bookmarkEnd w:id="191"/>
      <w:bookmarkEnd w:id="192"/>
      <w:bookmarkEnd w:id="193"/>
      <w:bookmarkEnd w:id="194"/>
    </w:p>
    <w:p>
      <w:pPr>
        <w:autoSpaceDE w:val="0"/>
        <w:autoSpaceDN w:val="0"/>
        <w:adjustRightInd w:val="0"/>
        <w:snapToGrid w:val="0"/>
        <w:spacing w:line="300" w:lineRule="auto"/>
        <w:ind w:firstLine="480"/>
        <w:jc w:val="left"/>
        <w:rPr>
          <w:rFonts w:hint="eastAsia" w:ascii="宋体" w:hAnsi="宋体" w:cs="宋体"/>
          <w:color w:val="auto"/>
        </w:rPr>
      </w:pPr>
      <w:r>
        <w:rPr>
          <w:rFonts w:hint="eastAsia" w:ascii="宋体" w:hAnsi="宋体" w:cs="宋体"/>
          <w:color w:val="auto"/>
        </w:rPr>
        <w:t>截至202</w:t>
      </w:r>
      <w:r>
        <w:rPr>
          <w:rFonts w:hint="eastAsia" w:ascii="宋体" w:hAnsi="宋体" w:cs="宋体"/>
          <w:color w:val="auto"/>
          <w:lang w:val="en-US" w:eastAsia="zh-CN"/>
        </w:rPr>
        <w:t>3</w:t>
      </w:r>
      <w:r>
        <w:rPr>
          <w:rFonts w:hint="eastAsia" w:ascii="宋体" w:hAnsi="宋体" w:cs="宋体"/>
          <w:color w:val="auto"/>
        </w:rPr>
        <w:t>年</w:t>
      </w:r>
      <w:r>
        <w:rPr>
          <w:rFonts w:ascii="宋体" w:hAnsi="宋体" w:cs="宋体"/>
          <w:color w:val="auto"/>
        </w:rPr>
        <w:t>9</w:t>
      </w:r>
      <w:r>
        <w:rPr>
          <w:rFonts w:hint="eastAsia" w:ascii="宋体" w:hAnsi="宋体" w:cs="宋体"/>
          <w:color w:val="auto"/>
        </w:rPr>
        <w:t>月，我校获得的省级以上教改成果如下：</w:t>
      </w:r>
    </w:p>
    <w:p>
      <w:pPr>
        <w:bidi w:val="0"/>
        <w:jc w:val="center"/>
        <w:rPr>
          <w:rFonts w:hint="eastAsia"/>
          <w:lang w:val="en-US" w:eastAsia="zh-CN"/>
        </w:rPr>
      </w:pPr>
      <w:bookmarkStart w:id="195" w:name="_Toc88218484"/>
      <w:r>
        <w:rPr>
          <w:rFonts w:hint="eastAsia"/>
          <w:lang w:val="en-US" w:eastAsia="zh-CN"/>
        </w:rPr>
        <w:t>表</w:t>
      </w:r>
      <w:bookmarkStart w:id="196" w:name="_Toc5842"/>
      <w:r>
        <w:rPr>
          <w:rFonts w:hint="eastAsia"/>
          <w:lang w:val="en-US" w:eastAsia="zh-CN"/>
        </w:rPr>
        <w:t>7 省级以上教学建设与改革成果一览表</w:t>
      </w:r>
      <w:bookmarkEnd w:id="195"/>
      <w:bookmarkEnd w:id="196"/>
    </w:p>
    <w:tbl>
      <w:tblPr>
        <w:tblStyle w:val="18"/>
        <w:tblW w:w="5103" w:type="pct"/>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2"/>
        <w:gridCol w:w="774"/>
        <w:gridCol w:w="4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1834" w:type="pct"/>
            <w:tcBorders>
              <w:top w:val="single" w:color="auto" w:sz="4" w:space="0"/>
              <w:left w:val="single" w:color="auto" w:sz="4" w:space="0"/>
              <w:bottom w:val="single" w:color="auto" w:sz="4" w:space="0"/>
            </w:tcBorders>
            <w:vAlign w:val="center"/>
          </w:tcPr>
          <w:p>
            <w:pPr>
              <w:widowControl/>
              <w:spacing w:line="240" w:lineRule="auto"/>
              <w:ind w:firstLine="0" w:firstLineChars="0"/>
              <w:jc w:val="center"/>
              <w:rPr>
                <w:rFonts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省级以上教学建设与改革成果</w:t>
            </w:r>
          </w:p>
        </w:tc>
        <w:tc>
          <w:tcPr>
            <w:tcW w:w="445" w:type="pct"/>
            <w:tcBorders>
              <w:top w:val="single" w:color="auto" w:sz="4" w:space="0"/>
              <w:bottom w:val="single" w:color="auto" w:sz="4" w:space="0"/>
            </w:tcBorders>
            <w:vAlign w:val="center"/>
          </w:tcPr>
          <w:p>
            <w:pPr>
              <w:widowControl/>
              <w:spacing w:line="240" w:lineRule="auto"/>
              <w:ind w:firstLine="0" w:firstLineChars="0"/>
              <w:jc w:val="center"/>
              <w:rPr>
                <w:rFonts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数量</w:t>
            </w:r>
          </w:p>
        </w:tc>
        <w:tc>
          <w:tcPr>
            <w:tcW w:w="2719" w:type="pct"/>
            <w:tcBorders>
              <w:top w:val="single" w:color="auto" w:sz="4" w:space="0"/>
              <w:bottom w:val="single" w:color="auto" w:sz="4" w:space="0"/>
              <w:right w:val="single" w:color="auto" w:sz="4" w:space="0"/>
            </w:tcBorders>
            <w:vAlign w:val="center"/>
          </w:tcPr>
          <w:p>
            <w:pPr>
              <w:widowControl/>
              <w:spacing w:line="240" w:lineRule="auto"/>
              <w:ind w:firstLine="0" w:firstLineChars="0"/>
              <w:jc w:val="center"/>
              <w:rPr>
                <w:rFonts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834" w:type="pct"/>
            <w:tcBorders>
              <w:top w:val="single" w:color="auto" w:sz="4" w:space="0"/>
              <w:left w:val="single" w:color="auto" w:sz="4" w:space="0"/>
              <w:bottom w:val="single" w:color="auto" w:sz="4" w:space="0"/>
            </w:tcBorders>
            <w:vAlign w:val="center"/>
          </w:tcPr>
          <w:p>
            <w:pPr>
              <w:widowControl/>
              <w:spacing w:line="240" w:lineRule="auto"/>
              <w:ind w:firstLine="0" w:firstLineChars="0"/>
              <w:jc w:val="center"/>
              <w:rPr>
                <w:rFonts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国家级教学成果奖</w:t>
            </w:r>
          </w:p>
        </w:tc>
        <w:tc>
          <w:tcPr>
            <w:tcW w:w="445" w:type="pct"/>
            <w:tcBorders>
              <w:top w:val="single" w:color="auto" w:sz="4" w:space="0"/>
              <w:bottom w:val="single" w:color="auto" w:sz="4" w:space="0"/>
            </w:tcBorders>
            <w:vAlign w:val="center"/>
          </w:tcPr>
          <w:p>
            <w:pPr>
              <w:widowControl/>
              <w:spacing w:line="240" w:lineRule="auto"/>
              <w:ind w:firstLine="0" w:firstLineChars="0"/>
              <w:jc w:val="center"/>
              <w:rPr>
                <w:rFonts w:hint="eastAsia" w:cs="宋体" w:asciiTheme="minorEastAsia" w:hAnsiTheme="minorEastAsia" w:eastAsiaTheme="minorEastAsia"/>
                <w:color w:val="auto"/>
                <w:kern w:val="0"/>
                <w:sz w:val="21"/>
                <w:szCs w:val="21"/>
                <w:highlight w:val="none"/>
                <w:lang w:eastAsia="zh-CN"/>
              </w:rPr>
            </w:pPr>
            <w:r>
              <w:rPr>
                <w:rFonts w:cs="宋体" w:asciiTheme="minorEastAsia" w:hAnsiTheme="minorEastAsia" w:eastAsiaTheme="minorEastAsia"/>
                <w:color w:val="auto"/>
                <w:kern w:val="0"/>
                <w:sz w:val="21"/>
                <w:szCs w:val="21"/>
                <w:highlight w:val="none"/>
              </w:rPr>
              <w:t>1</w:t>
            </w:r>
            <w:r>
              <w:rPr>
                <w:rFonts w:hint="eastAsia" w:cs="宋体" w:asciiTheme="minorEastAsia" w:hAnsiTheme="minorEastAsia" w:eastAsiaTheme="minorEastAsia"/>
                <w:color w:val="auto"/>
                <w:kern w:val="0"/>
                <w:sz w:val="21"/>
                <w:szCs w:val="21"/>
                <w:highlight w:val="none"/>
                <w:lang w:val="en-US" w:eastAsia="zh-CN"/>
              </w:rPr>
              <w:t>4</w:t>
            </w:r>
          </w:p>
        </w:tc>
        <w:tc>
          <w:tcPr>
            <w:tcW w:w="2719" w:type="pct"/>
            <w:tcBorders>
              <w:top w:val="single" w:color="auto" w:sz="4" w:space="0"/>
              <w:bottom w:val="single" w:color="auto" w:sz="4" w:space="0"/>
              <w:right w:val="single" w:color="auto" w:sz="4" w:space="0"/>
            </w:tcBorders>
            <w:vAlign w:val="center"/>
          </w:tcPr>
          <w:p>
            <w:pPr>
              <w:widowControl/>
              <w:spacing w:line="240" w:lineRule="auto"/>
              <w:ind w:firstLine="0" w:firstLineChars="0"/>
              <w:jc w:val="left"/>
              <w:rPr>
                <w:rFonts w:cs="宋体" w:asciiTheme="minorEastAsia" w:hAnsiTheme="minorEastAsia" w:eastAsiaTheme="minorEastAsia"/>
                <w:color w:val="auto"/>
                <w:kern w:val="0"/>
                <w:sz w:val="21"/>
                <w:szCs w:val="21"/>
                <w:highlight w:val="none"/>
              </w:rPr>
            </w:pPr>
            <w:r>
              <w:rPr>
                <w:rFonts w:hint="eastAsia" w:cs="宋体" w:asciiTheme="minorEastAsia" w:hAnsiTheme="minorEastAsia" w:eastAsiaTheme="minorEastAsia"/>
                <w:color w:val="auto"/>
                <w:kern w:val="0"/>
                <w:sz w:val="21"/>
                <w:szCs w:val="21"/>
                <w:highlight w:val="none"/>
              </w:rPr>
              <w:t>（略）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834" w:type="pct"/>
            <w:tcBorders>
              <w:top w:val="single" w:color="auto" w:sz="4" w:space="0"/>
              <w:left w:val="single" w:color="auto" w:sz="4" w:space="0"/>
              <w:bottom w:val="single" w:color="auto" w:sz="4" w:space="0"/>
            </w:tcBorders>
            <w:vAlign w:val="center"/>
          </w:tcPr>
          <w:p>
            <w:pPr>
              <w:widowControl/>
              <w:spacing w:line="240" w:lineRule="auto"/>
              <w:ind w:firstLine="0" w:firstLineChars="0"/>
              <w:jc w:val="center"/>
              <w:rPr>
                <w:rFonts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省级教学成果奖</w:t>
            </w:r>
          </w:p>
        </w:tc>
        <w:tc>
          <w:tcPr>
            <w:tcW w:w="445" w:type="pct"/>
            <w:tcBorders>
              <w:top w:val="single" w:color="auto" w:sz="4" w:space="0"/>
              <w:bottom w:val="single" w:color="auto" w:sz="4" w:space="0"/>
            </w:tcBorders>
            <w:vAlign w:val="center"/>
          </w:tcPr>
          <w:p>
            <w:pPr>
              <w:widowControl/>
              <w:spacing w:line="240" w:lineRule="auto"/>
              <w:ind w:firstLine="0" w:firstLineChars="0"/>
              <w:jc w:val="center"/>
              <w:rPr>
                <w:rFonts w:hint="default" w:cs="宋体" w:asciiTheme="minorEastAsia" w:hAnsiTheme="minorEastAsia" w:eastAsiaTheme="minorEastAsia"/>
                <w:color w:val="auto"/>
                <w:kern w:val="0"/>
                <w:sz w:val="21"/>
                <w:szCs w:val="21"/>
                <w:highlight w:val="none"/>
                <w:lang w:val="en-US" w:eastAsia="zh-CN"/>
              </w:rPr>
            </w:pPr>
            <w:r>
              <w:rPr>
                <w:rFonts w:hint="eastAsia" w:cs="宋体" w:asciiTheme="minorEastAsia" w:hAnsiTheme="minorEastAsia" w:eastAsiaTheme="minorEastAsia"/>
                <w:color w:val="auto"/>
                <w:kern w:val="0"/>
                <w:sz w:val="21"/>
                <w:szCs w:val="21"/>
                <w:highlight w:val="none"/>
                <w:lang w:val="en-US" w:eastAsia="zh-CN"/>
              </w:rPr>
              <w:t>59</w:t>
            </w:r>
          </w:p>
        </w:tc>
        <w:tc>
          <w:tcPr>
            <w:tcW w:w="2719" w:type="pct"/>
            <w:tcBorders>
              <w:top w:val="single" w:color="auto" w:sz="4" w:space="0"/>
              <w:bottom w:val="single" w:color="auto" w:sz="4" w:space="0"/>
              <w:right w:val="single" w:color="auto" w:sz="4" w:space="0"/>
            </w:tcBorders>
            <w:vAlign w:val="center"/>
          </w:tcPr>
          <w:p>
            <w:pPr>
              <w:widowControl/>
              <w:spacing w:line="240" w:lineRule="auto"/>
              <w:ind w:firstLine="0" w:firstLineChars="0"/>
              <w:jc w:val="left"/>
              <w:rPr>
                <w:rFonts w:cs="宋体" w:asciiTheme="minorEastAsia" w:hAnsiTheme="minorEastAsia" w:eastAsiaTheme="minorEastAsia"/>
                <w:color w:val="auto"/>
                <w:kern w:val="0"/>
                <w:sz w:val="21"/>
                <w:szCs w:val="21"/>
                <w:highlight w:val="none"/>
              </w:rPr>
            </w:pPr>
            <w:r>
              <w:rPr>
                <w:rFonts w:hint="eastAsia" w:cs="宋体" w:asciiTheme="minorEastAsia" w:hAnsiTheme="minorEastAsia" w:eastAsiaTheme="minorEastAsia"/>
                <w:color w:val="auto"/>
                <w:kern w:val="0"/>
                <w:sz w:val="21"/>
                <w:szCs w:val="21"/>
                <w:highlight w:val="none"/>
              </w:rPr>
              <w:t>（略）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834" w:type="pct"/>
            <w:tcBorders>
              <w:top w:val="single" w:color="auto" w:sz="4" w:space="0"/>
              <w:left w:val="single" w:color="auto" w:sz="4" w:space="0"/>
              <w:bottom w:val="single" w:color="auto" w:sz="4" w:space="0"/>
            </w:tcBorders>
            <w:vAlign w:val="center"/>
          </w:tcPr>
          <w:p>
            <w:pPr>
              <w:widowControl/>
              <w:spacing w:line="240" w:lineRule="auto"/>
              <w:ind w:firstLine="0" w:firstLineChars="0"/>
              <w:jc w:val="center"/>
              <w:rPr>
                <w:rFonts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国家级一流本科专业建设点</w:t>
            </w:r>
          </w:p>
        </w:tc>
        <w:tc>
          <w:tcPr>
            <w:tcW w:w="445" w:type="pct"/>
            <w:tcBorders>
              <w:top w:val="single" w:color="auto" w:sz="4" w:space="0"/>
              <w:bottom w:val="single" w:color="auto" w:sz="4" w:space="0"/>
            </w:tcBorders>
            <w:vAlign w:val="center"/>
          </w:tcPr>
          <w:p>
            <w:pPr>
              <w:widowControl/>
              <w:spacing w:line="240" w:lineRule="auto"/>
              <w:ind w:firstLine="0" w:firstLineChars="0"/>
              <w:jc w:val="center"/>
              <w:rPr>
                <w:rFonts w:cs="宋体" w:asciiTheme="minorEastAsia" w:hAnsiTheme="minorEastAsia" w:eastAsiaTheme="minorEastAsia"/>
                <w:color w:val="auto"/>
                <w:kern w:val="0"/>
                <w:sz w:val="21"/>
                <w:szCs w:val="21"/>
                <w:highlight w:val="none"/>
              </w:rPr>
            </w:pPr>
            <w:r>
              <w:rPr>
                <w:rFonts w:cs="宋体" w:asciiTheme="minorEastAsia" w:hAnsiTheme="minorEastAsia" w:eastAsiaTheme="minorEastAsia"/>
                <w:color w:val="auto"/>
                <w:kern w:val="0"/>
                <w:sz w:val="21"/>
                <w:szCs w:val="21"/>
                <w:highlight w:val="none"/>
              </w:rPr>
              <w:t>27</w:t>
            </w:r>
          </w:p>
        </w:tc>
        <w:tc>
          <w:tcPr>
            <w:tcW w:w="2719" w:type="pct"/>
            <w:tcBorders>
              <w:top w:val="single" w:color="auto" w:sz="4" w:space="0"/>
              <w:bottom w:val="single" w:color="auto" w:sz="4" w:space="0"/>
              <w:right w:val="single" w:color="auto" w:sz="4" w:space="0"/>
            </w:tcBorders>
            <w:vAlign w:val="center"/>
          </w:tcPr>
          <w:p>
            <w:pPr>
              <w:widowControl/>
              <w:spacing w:line="240" w:lineRule="auto"/>
              <w:ind w:firstLine="0" w:firstLineChars="0"/>
              <w:jc w:val="left"/>
              <w:rPr>
                <w:rFonts w:cs="宋体" w:asciiTheme="minorEastAsia" w:hAnsiTheme="minorEastAsia" w:eastAsiaTheme="minorEastAsia"/>
                <w:color w:val="auto"/>
                <w:kern w:val="0"/>
                <w:sz w:val="21"/>
                <w:szCs w:val="21"/>
                <w:highlight w:val="none"/>
              </w:rPr>
            </w:pPr>
            <w:r>
              <w:rPr>
                <w:rFonts w:hint="eastAsia" w:cs="宋体" w:asciiTheme="minorEastAsia" w:hAnsiTheme="minorEastAsia" w:eastAsiaTheme="minorEastAsia"/>
                <w:color w:val="auto"/>
                <w:kern w:val="0"/>
                <w:sz w:val="21"/>
                <w:szCs w:val="21"/>
                <w:highlight w:val="none"/>
              </w:rPr>
              <w:t>（略）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834" w:type="pct"/>
            <w:tcBorders>
              <w:top w:val="single" w:color="auto" w:sz="4" w:space="0"/>
              <w:left w:val="single" w:color="auto" w:sz="4" w:space="0"/>
              <w:bottom w:val="single" w:color="auto" w:sz="4" w:space="0"/>
            </w:tcBorders>
            <w:vAlign w:val="center"/>
          </w:tcPr>
          <w:p>
            <w:pPr>
              <w:widowControl/>
              <w:spacing w:line="240" w:lineRule="auto"/>
              <w:ind w:firstLine="0" w:firstLineChars="0"/>
              <w:jc w:val="center"/>
              <w:rPr>
                <w:rFonts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国家特色专业</w:t>
            </w:r>
          </w:p>
        </w:tc>
        <w:tc>
          <w:tcPr>
            <w:tcW w:w="445" w:type="pct"/>
            <w:tcBorders>
              <w:top w:val="single" w:color="auto" w:sz="4" w:space="0"/>
              <w:bottom w:val="single" w:color="auto" w:sz="4" w:space="0"/>
            </w:tcBorders>
            <w:vAlign w:val="center"/>
          </w:tcPr>
          <w:p>
            <w:pPr>
              <w:widowControl/>
              <w:spacing w:line="240" w:lineRule="auto"/>
              <w:ind w:firstLine="0" w:firstLineChars="0"/>
              <w:jc w:val="center"/>
              <w:rPr>
                <w:rFonts w:cs="宋体" w:asciiTheme="minorEastAsia" w:hAnsiTheme="minorEastAsia" w:eastAsiaTheme="minorEastAsia"/>
                <w:color w:val="auto"/>
                <w:kern w:val="0"/>
                <w:sz w:val="21"/>
                <w:szCs w:val="21"/>
                <w:highlight w:val="none"/>
              </w:rPr>
            </w:pPr>
            <w:r>
              <w:rPr>
                <w:rFonts w:cs="宋体" w:asciiTheme="minorEastAsia" w:hAnsiTheme="minorEastAsia" w:eastAsiaTheme="minorEastAsia"/>
                <w:color w:val="auto"/>
                <w:kern w:val="0"/>
                <w:sz w:val="21"/>
                <w:szCs w:val="21"/>
                <w:highlight w:val="none"/>
              </w:rPr>
              <w:t>5</w:t>
            </w:r>
          </w:p>
        </w:tc>
        <w:tc>
          <w:tcPr>
            <w:tcW w:w="2719" w:type="pct"/>
            <w:tcBorders>
              <w:top w:val="single" w:color="auto" w:sz="4" w:space="0"/>
              <w:bottom w:val="single" w:color="auto" w:sz="4" w:space="0"/>
              <w:right w:val="single" w:color="auto" w:sz="4" w:space="0"/>
            </w:tcBorders>
            <w:vAlign w:val="center"/>
          </w:tcPr>
          <w:p>
            <w:pPr>
              <w:widowControl/>
              <w:spacing w:line="240" w:lineRule="auto"/>
              <w:ind w:firstLine="0" w:firstLineChars="0"/>
              <w:jc w:val="left"/>
              <w:rPr>
                <w:rFonts w:cs="宋体" w:asciiTheme="minorEastAsia" w:hAnsiTheme="minorEastAsia" w:eastAsiaTheme="minorEastAsia"/>
                <w:color w:val="auto"/>
                <w:kern w:val="0"/>
                <w:sz w:val="21"/>
                <w:szCs w:val="21"/>
                <w:highlight w:val="none"/>
              </w:rPr>
            </w:pPr>
            <w:r>
              <w:rPr>
                <w:rFonts w:hint="eastAsia" w:cs="宋体" w:asciiTheme="minorEastAsia" w:hAnsiTheme="minorEastAsia" w:eastAsiaTheme="minorEastAsia"/>
                <w:color w:val="auto"/>
                <w:kern w:val="0"/>
                <w:sz w:val="21"/>
                <w:szCs w:val="21"/>
                <w:highlight w:val="none"/>
              </w:rPr>
              <w:t>生物科学、音乐学、小学教育、化学、计算机科学与技术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834" w:type="pct"/>
            <w:tcBorders>
              <w:top w:val="single" w:color="auto" w:sz="4" w:space="0"/>
              <w:left w:val="single" w:color="auto" w:sz="4" w:space="0"/>
              <w:bottom w:val="single" w:color="auto" w:sz="4" w:space="0"/>
            </w:tcBorders>
            <w:vAlign w:val="center"/>
          </w:tcPr>
          <w:p>
            <w:pPr>
              <w:widowControl/>
              <w:spacing w:line="240" w:lineRule="auto"/>
              <w:ind w:firstLine="0" w:firstLineChars="0"/>
              <w:jc w:val="center"/>
              <w:rPr>
                <w:rFonts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教育部专业改革试点</w:t>
            </w:r>
          </w:p>
        </w:tc>
        <w:tc>
          <w:tcPr>
            <w:tcW w:w="445" w:type="pct"/>
            <w:tcBorders>
              <w:top w:val="single" w:color="auto" w:sz="4" w:space="0"/>
              <w:bottom w:val="single" w:color="auto" w:sz="4" w:space="0"/>
            </w:tcBorders>
            <w:vAlign w:val="center"/>
          </w:tcPr>
          <w:p>
            <w:pPr>
              <w:widowControl/>
              <w:spacing w:line="240" w:lineRule="auto"/>
              <w:ind w:firstLine="0" w:firstLineChars="0"/>
              <w:jc w:val="center"/>
              <w:rPr>
                <w:rFonts w:cs="宋体" w:asciiTheme="minorEastAsia" w:hAnsiTheme="minorEastAsia" w:eastAsiaTheme="minorEastAsia"/>
                <w:color w:val="auto"/>
                <w:kern w:val="0"/>
                <w:sz w:val="21"/>
                <w:szCs w:val="21"/>
                <w:highlight w:val="none"/>
              </w:rPr>
            </w:pPr>
            <w:r>
              <w:rPr>
                <w:rFonts w:cs="宋体" w:asciiTheme="minorEastAsia" w:hAnsiTheme="minorEastAsia" w:eastAsiaTheme="minorEastAsia"/>
                <w:color w:val="auto"/>
                <w:kern w:val="0"/>
                <w:sz w:val="21"/>
                <w:szCs w:val="21"/>
                <w:highlight w:val="none"/>
              </w:rPr>
              <w:t>3</w:t>
            </w:r>
          </w:p>
        </w:tc>
        <w:tc>
          <w:tcPr>
            <w:tcW w:w="2719" w:type="pct"/>
            <w:tcBorders>
              <w:top w:val="single" w:color="auto" w:sz="4" w:space="0"/>
              <w:bottom w:val="single" w:color="auto" w:sz="4" w:space="0"/>
              <w:right w:val="single" w:color="auto" w:sz="4" w:space="0"/>
            </w:tcBorders>
            <w:vAlign w:val="center"/>
          </w:tcPr>
          <w:p>
            <w:pPr>
              <w:widowControl/>
              <w:spacing w:line="240" w:lineRule="auto"/>
              <w:ind w:firstLine="0" w:firstLineChars="0"/>
              <w:jc w:val="left"/>
              <w:rPr>
                <w:rFonts w:cs="宋体" w:asciiTheme="minorEastAsia" w:hAnsiTheme="minorEastAsia" w:eastAsiaTheme="minorEastAsia"/>
                <w:color w:val="auto"/>
                <w:kern w:val="0"/>
                <w:sz w:val="21"/>
                <w:szCs w:val="21"/>
                <w:highlight w:val="none"/>
              </w:rPr>
            </w:pPr>
            <w:r>
              <w:rPr>
                <w:rFonts w:hint="eastAsia" w:cs="宋体" w:asciiTheme="minorEastAsia" w:hAnsiTheme="minorEastAsia" w:eastAsiaTheme="minorEastAsia"/>
                <w:color w:val="auto"/>
                <w:kern w:val="0"/>
                <w:sz w:val="21"/>
                <w:szCs w:val="21"/>
                <w:highlight w:val="none"/>
              </w:rPr>
              <w:t>音乐学、历史学（历史学+思想政治教育本硕衔接试验班）（师范）、物理学（物理学+教育技术学本硕衔接试验班）（师范）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834" w:type="pct"/>
            <w:tcBorders>
              <w:top w:val="single" w:color="auto" w:sz="4" w:space="0"/>
              <w:left w:val="single" w:color="auto" w:sz="4" w:space="0"/>
              <w:bottom w:val="single" w:color="auto" w:sz="4" w:space="0"/>
            </w:tcBorders>
            <w:vAlign w:val="center"/>
          </w:tcPr>
          <w:p>
            <w:pPr>
              <w:widowControl/>
              <w:spacing w:line="240" w:lineRule="auto"/>
              <w:ind w:firstLine="0" w:firstLineChars="0"/>
              <w:jc w:val="center"/>
              <w:rPr>
                <w:rFonts w:hint="eastAsia"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教育部卓越教师培养计划</w:t>
            </w:r>
          </w:p>
          <w:p>
            <w:pPr>
              <w:widowControl/>
              <w:spacing w:line="240" w:lineRule="auto"/>
              <w:ind w:firstLine="0" w:firstLineChars="0"/>
              <w:jc w:val="center"/>
              <w:rPr>
                <w:rFonts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改革项目</w:t>
            </w:r>
          </w:p>
        </w:tc>
        <w:tc>
          <w:tcPr>
            <w:tcW w:w="445" w:type="pct"/>
            <w:tcBorders>
              <w:top w:val="single" w:color="auto" w:sz="4" w:space="0"/>
              <w:bottom w:val="single" w:color="auto" w:sz="4" w:space="0"/>
            </w:tcBorders>
            <w:vAlign w:val="center"/>
          </w:tcPr>
          <w:p>
            <w:pPr>
              <w:widowControl/>
              <w:spacing w:line="240" w:lineRule="auto"/>
              <w:ind w:firstLine="0" w:firstLineChars="0"/>
              <w:jc w:val="center"/>
              <w:rPr>
                <w:rFonts w:cs="宋体" w:asciiTheme="minorEastAsia" w:hAnsiTheme="minorEastAsia" w:eastAsiaTheme="minorEastAsia"/>
                <w:color w:val="auto"/>
                <w:kern w:val="0"/>
                <w:sz w:val="21"/>
                <w:szCs w:val="21"/>
                <w:highlight w:val="none"/>
              </w:rPr>
            </w:pPr>
            <w:r>
              <w:rPr>
                <w:rFonts w:cs="宋体" w:asciiTheme="minorEastAsia" w:hAnsiTheme="minorEastAsia" w:eastAsiaTheme="minorEastAsia"/>
                <w:color w:val="auto"/>
                <w:kern w:val="0"/>
                <w:sz w:val="21"/>
                <w:szCs w:val="21"/>
                <w:highlight w:val="none"/>
              </w:rPr>
              <w:t>1</w:t>
            </w:r>
          </w:p>
        </w:tc>
        <w:tc>
          <w:tcPr>
            <w:tcW w:w="2719" w:type="pct"/>
            <w:tcBorders>
              <w:top w:val="single" w:color="auto" w:sz="4" w:space="0"/>
              <w:bottom w:val="single" w:color="auto" w:sz="4" w:space="0"/>
              <w:right w:val="single" w:color="auto" w:sz="4" w:space="0"/>
            </w:tcBorders>
          </w:tcPr>
          <w:p>
            <w:pPr>
              <w:widowControl/>
              <w:spacing w:line="240" w:lineRule="auto"/>
              <w:ind w:firstLine="0" w:firstLineChars="0"/>
              <w:jc w:val="left"/>
              <w:rPr>
                <w:rFonts w:cs="宋体" w:asciiTheme="minorEastAsia" w:hAnsiTheme="minorEastAsia" w:eastAsiaTheme="minorEastAsia"/>
                <w:color w:val="auto"/>
                <w:kern w:val="0"/>
                <w:sz w:val="21"/>
                <w:szCs w:val="21"/>
                <w:highlight w:val="none"/>
              </w:rPr>
            </w:pPr>
            <w:r>
              <w:rPr>
                <w:rFonts w:hint="eastAsia" w:cs="宋体" w:asciiTheme="minorEastAsia" w:hAnsiTheme="minorEastAsia" w:eastAsiaTheme="minorEastAsia"/>
                <w:color w:val="auto"/>
                <w:kern w:val="0"/>
                <w:sz w:val="21"/>
                <w:szCs w:val="21"/>
                <w:highlight w:val="none"/>
              </w:rPr>
              <w:t>师德•师能•师艺并重的小学卓越全科教师培养模式创新与实践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834" w:type="pct"/>
            <w:tcBorders>
              <w:top w:val="single" w:color="auto" w:sz="4" w:space="0"/>
              <w:left w:val="single" w:color="auto" w:sz="4" w:space="0"/>
              <w:bottom w:val="single" w:color="auto" w:sz="4" w:space="0"/>
            </w:tcBorders>
            <w:vAlign w:val="center"/>
          </w:tcPr>
          <w:p>
            <w:pPr>
              <w:widowControl/>
              <w:spacing w:line="240" w:lineRule="auto"/>
              <w:ind w:firstLine="0" w:firstLineChars="0"/>
              <w:jc w:val="center"/>
              <w:rPr>
                <w:rFonts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省级一流本科专业建设点</w:t>
            </w:r>
          </w:p>
        </w:tc>
        <w:tc>
          <w:tcPr>
            <w:tcW w:w="445" w:type="pct"/>
            <w:tcBorders>
              <w:top w:val="single" w:color="auto" w:sz="4" w:space="0"/>
              <w:bottom w:val="single" w:color="auto" w:sz="4" w:space="0"/>
            </w:tcBorders>
            <w:vAlign w:val="center"/>
          </w:tcPr>
          <w:p>
            <w:pPr>
              <w:widowControl/>
              <w:spacing w:line="240" w:lineRule="auto"/>
              <w:ind w:firstLine="0" w:firstLineChars="0"/>
              <w:jc w:val="center"/>
              <w:rPr>
                <w:rFonts w:cs="宋体" w:asciiTheme="minorEastAsia" w:hAnsiTheme="minorEastAsia" w:eastAsiaTheme="minorEastAsia"/>
                <w:color w:val="auto"/>
                <w:kern w:val="0"/>
                <w:sz w:val="21"/>
                <w:szCs w:val="21"/>
                <w:highlight w:val="none"/>
              </w:rPr>
            </w:pPr>
            <w:r>
              <w:rPr>
                <w:rFonts w:cs="宋体" w:asciiTheme="minorEastAsia" w:hAnsiTheme="minorEastAsia" w:eastAsiaTheme="minorEastAsia"/>
                <w:color w:val="auto"/>
                <w:kern w:val="0"/>
                <w:sz w:val="21"/>
                <w:szCs w:val="21"/>
                <w:highlight w:val="none"/>
              </w:rPr>
              <w:t>16</w:t>
            </w:r>
          </w:p>
        </w:tc>
        <w:tc>
          <w:tcPr>
            <w:tcW w:w="2719" w:type="pct"/>
            <w:tcBorders>
              <w:top w:val="single" w:color="auto" w:sz="4" w:space="0"/>
              <w:bottom w:val="single" w:color="auto" w:sz="4" w:space="0"/>
              <w:right w:val="single" w:color="auto" w:sz="4" w:space="0"/>
            </w:tcBorders>
            <w:vAlign w:val="center"/>
          </w:tcPr>
          <w:p>
            <w:pPr>
              <w:widowControl/>
              <w:spacing w:line="240" w:lineRule="auto"/>
              <w:ind w:firstLine="0" w:firstLineChars="0"/>
              <w:jc w:val="left"/>
              <w:rPr>
                <w:rFonts w:cs="宋体" w:asciiTheme="minorEastAsia" w:hAnsiTheme="minorEastAsia" w:eastAsiaTheme="minorEastAsia"/>
                <w:color w:val="auto"/>
                <w:kern w:val="0"/>
                <w:sz w:val="21"/>
                <w:szCs w:val="21"/>
                <w:highlight w:val="none"/>
              </w:rPr>
            </w:pPr>
            <w:r>
              <w:rPr>
                <w:rFonts w:hint="eastAsia" w:cs="宋体" w:asciiTheme="minorEastAsia" w:hAnsiTheme="minorEastAsia" w:eastAsiaTheme="minorEastAsia"/>
                <w:color w:val="auto"/>
                <w:kern w:val="0"/>
                <w:sz w:val="21"/>
                <w:szCs w:val="21"/>
                <w:highlight w:val="none"/>
              </w:rPr>
              <w:t>（略）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9" w:hRule="atLeast"/>
        </w:trPr>
        <w:tc>
          <w:tcPr>
            <w:tcW w:w="1834" w:type="pct"/>
            <w:tcBorders>
              <w:top w:val="single" w:color="auto" w:sz="4" w:space="0"/>
              <w:bottom w:val="single" w:color="auto" w:sz="4" w:space="0"/>
            </w:tcBorders>
            <w:vAlign w:val="center"/>
          </w:tcPr>
          <w:p>
            <w:pPr>
              <w:widowControl/>
              <w:spacing w:line="240" w:lineRule="auto"/>
              <w:ind w:firstLine="0" w:firstLineChars="0"/>
              <w:jc w:val="center"/>
              <w:rPr>
                <w:rFonts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国家级一流本科课程</w:t>
            </w:r>
          </w:p>
        </w:tc>
        <w:tc>
          <w:tcPr>
            <w:tcW w:w="445" w:type="pct"/>
            <w:tcBorders>
              <w:top w:val="single" w:color="auto" w:sz="4" w:space="0"/>
              <w:bottom w:val="single" w:color="auto" w:sz="4" w:space="0"/>
            </w:tcBorders>
            <w:vAlign w:val="center"/>
          </w:tcPr>
          <w:p>
            <w:pPr>
              <w:widowControl/>
              <w:spacing w:line="240" w:lineRule="auto"/>
              <w:ind w:firstLine="0" w:firstLineChars="0"/>
              <w:jc w:val="center"/>
              <w:rPr>
                <w:rFonts w:hint="default" w:cs="宋体" w:asciiTheme="minorEastAsia" w:hAnsiTheme="minorEastAsia" w:eastAsiaTheme="minorEastAsia"/>
                <w:color w:val="auto"/>
                <w:kern w:val="0"/>
                <w:sz w:val="21"/>
                <w:szCs w:val="21"/>
                <w:highlight w:val="none"/>
                <w:lang w:val="en-US" w:eastAsia="zh-CN"/>
              </w:rPr>
            </w:pPr>
            <w:r>
              <w:rPr>
                <w:rFonts w:hint="eastAsia" w:cs="宋体" w:asciiTheme="minorEastAsia" w:hAnsiTheme="minorEastAsia" w:eastAsiaTheme="minorEastAsia"/>
                <w:color w:val="auto"/>
                <w:kern w:val="0"/>
                <w:sz w:val="21"/>
                <w:szCs w:val="21"/>
                <w:highlight w:val="none"/>
                <w:lang w:val="en-US" w:eastAsia="zh-CN"/>
              </w:rPr>
              <w:t>13</w:t>
            </w:r>
          </w:p>
        </w:tc>
        <w:tc>
          <w:tcPr>
            <w:tcW w:w="2719" w:type="pct"/>
            <w:tcBorders>
              <w:top w:val="single" w:color="auto" w:sz="4" w:space="0"/>
              <w:bottom w:val="single" w:color="auto" w:sz="4" w:space="0"/>
            </w:tcBorders>
            <w:vAlign w:val="center"/>
          </w:tcPr>
          <w:p>
            <w:pPr>
              <w:pStyle w:val="17"/>
              <w:spacing w:before="0" w:beforeAutospacing="0" w:after="0" w:afterAutospacing="0" w:line="240" w:lineRule="auto"/>
              <w:ind w:firstLine="0" w:firstLineChars="0"/>
              <w:rPr>
                <w:rFonts w:hint="eastAsia" w:cs="宋体" w:asciiTheme="minorEastAsia" w:hAnsiTheme="minorEastAsia" w:eastAsiaTheme="minorEastAsia"/>
                <w:color w:val="auto"/>
                <w:kern w:val="0"/>
                <w:sz w:val="21"/>
                <w:szCs w:val="21"/>
                <w:highlight w:val="none"/>
                <w:lang w:val="en-US" w:eastAsia="zh-CN" w:bidi="ar-SA"/>
              </w:rPr>
            </w:pPr>
            <w:r>
              <w:rPr>
                <w:rFonts w:hint="eastAsia" w:cs="宋体" w:asciiTheme="minorEastAsia" w:hAnsiTheme="minorEastAsia" w:eastAsiaTheme="minorEastAsia"/>
                <w:color w:val="auto"/>
                <w:kern w:val="0"/>
                <w:sz w:val="21"/>
                <w:szCs w:val="21"/>
                <w:highlight w:val="none"/>
                <w:lang w:val="en-US" w:eastAsia="zh-CN" w:bidi="ar-SA"/>
              </w:rPr>
              <w:t>《3-6岁幼儿心理问题的教育观察、辨别与辅导的虚拟仿真教学实验系统》、《常见颈肩腰腿痛的针刀治疗仿真训练》（虚拟仿真实验教学一流课程）；《小学语文文本解读与案例分析》、《跨文化交际》（线下一流课程）、《英美文化》（线上线下混合式一流课程）、风从东方来：今日中国概况、运动训练学、小学语文教学设计、美术课程标准与教材研究、大学生行为生活方式与健康、网络零售、小说艺术解密、初等数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834" w:type="pct"/>
            <w:tcBorders>
              <w:top w:val="single" w:color="auto" w:sz="4" w:space="0"/>
              <w:bottom w:val="single" w:color="auto" w:sz="4" w:space="0"/>
            </w:tcBorders>
            <w:vAlign w:val="center"/>
          </w:tcPr>
          <w:p>
            <w:pPr>
              <w:widowControl/>
              <w:spacing w:line="240" w:lineRule="auto"/>
              <w:ind w:firstLine="0" w:firstLineChars="0"/>
              <w:jc w:val="center"/>
              <w:rPr>
                <w:rFonts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国家精品在线开放课程</w:t>
            </w:r>
          </w:p>
        </w:tc>
        <w:tc>
          <w:tcPr>
            <w:tcW w:w="445" w:type="pct"/>
            <w:tcBorders>
              <w:top w:val="single" w:color="auto" w:sz="4" w:space="0"/>
              <w:bottom w:val="single" w:color="auto" w:sz="4" w:space="0"/>
            </w:tcBorders>
            <w:vAlign w:val="center"/>
          </w:tcPr>
          <w:p>
            <w:pPr>
              <w:widowControl/>
              <w:spacing w:line="240" w:lineRule="auto"/>
              <w:ind w:firstLine="0" w:firstLineChars="0"/>
              <w:jc w:val="center"/>
              <w:rPr>
                <w:rFonts w:cs="宋体" w:asciiTheme="minorEastAsia" w:hAnsiTheme="minorEastAsia" w:eastAsiaTheme="minorEastAsia"/>
                <w:color w:val="auto"/>
                <w:kern w:val="0"/>
                <w:sz w:val="21"/>
                <w:szCs w:val="21"/>
                <w:highlight w:val="none"/>
              </w:rPr>
            </w:pPr>
            <w:r>
              <w:rPr>
                <w:rFonts w:cs="宋体" w:asciiTheme="minorEastAsia" w:hAnsiTheme="minorEastAsia" w:eastAsiaTheme="minorEastAsia"/>
                <w:color w:val="auto"/>
                <w:kern w:val="0"/>
                <w:sz w:val="21"/>
                <w:szCs w:val="21"/>
                <w:highlight w:val="none"/>
              </w:rPr>
              <w:t>2</w:t>
            </w:r>
          </w:p>
        </w:tc>
        <w:tc>
          <w:tcPr>
            <w:tcW w:w="2719" w:type="pct"/>
            <w:tcBorders>
              <w:top w:val="single" w:color="auto" w:sz="4" w:space="0"/>
              <w:bottom w:val="single" w:color="auto" w:sz="4" w:space="0"/>
            </w:tcBorders>
            <w:vAlign w:val="center"/>
          </w:tcPr>
          <w:p>
            <w:pPr>
              <w:widowControl/>
              <w:spacing w:line="240" w:lineRule="auto"/>
              <w:ind w:firstLine="0" w:firstLineChars="0"/>
              <w:jc w:val="left"/>
              <w:rPr>
                <w:rFonts w:cs="宋体" w:asciiTheme="minorEastAsia" w:hAnsiTheme="minorEastAsia" w:eastAsiaTheme="minorEastAsia"/>
                <w:color w:val="auto"/>
                <w:kern w:val="0"/>
                <w:sz w:val="21"/>
                <w:szCs w:val="21"/>
                <w:highlight w:val="none"/>
              </w:rPr>
            </w:pPr>
            <w:r>
              <w:rPr>
                <w:rFonts w:hint="eastAsia" w:cs="宋体" w:asciiTheme="minorEastAsia" w:hAnsiTheme="minorEastAsia" w:eastAsiaTheme="minorEastAsia"/>
                <w:color w:val="auto"/>
                <w:kern w:val="0"/>
                <w:sz w:val="21"/>
                <w:szCs w:val="21"/>
                <w:highlight w:val="none"/>
              </w:rPr>
              <w:t>印象英美——穿越时空之旅、行为生活方式与健康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834" w:type="pct"/>
            <w:tcBorders>
              <w:top w:val="single" w:color="auto" w:sz="4" w:space="0"/>
              <w:bottom w:val="single" w:color="auto" w:sz="4" w:space="0"/>
            </w:tcBorders>
            <w:vAlign w:val="center"/>
          </w:tcPr>
          <w:p>
            <w:pPr>
              <w:widowControl/>
              <w:spacing w:line="240" w:lineRule="auto"/>
              <w:ind w:firstLine="0" w:firstLineChars="0"/>
              <w:jc w:val="center"/>
              <w:rPr>
                <w:rFonts w:hint="eastAsia"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国家级精品课程、精品资源共享</w:t>
            </w:r>
          </w:p>
          <w:p>
            <w:pPr>
              <w:widowControl/>
              <w:spacing w:line="240" w:lineRule="auto"/>
              <w:ind w:firstLine="0" w:firstLineChars="0"/>
              <w:jc w:val="center"/>
              <w:rPr>
                <w:rFonts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课程、精品视频公开课程</w:t>
            </w:r>
          </w:p>
        </w:tc>
        <w:tc>
          <w:tcPr>
            <w:tcW w:w="445" w:type="pct"/>
            <w:tcBorders>
              <w:top w:val="single" w:color="auto" w:sz="4" w:space="0"/>
              <w:bottom w:val="single" w:color="auto" w:sz="4" w:space="0"/>
            </w:tcBorders>
            <w:vAlign w:val="center"/>
          </w:tcPr>
          <w:p>
            <w:pPr>
              <w:widowControl/>
              <w:spacing w:line="240" w:lineRule="auto"/>
              <w:ind w:firstLine="0" w:firstLineChars="0"/>
              <w:jc w:val="center"/>
              <w:rPr>
                <w:rFonts w:cs="宋体" w:asciiTheme="minorEastAsia" w:hAnsiTheme="minorEastAsia" w:eastAsiaTheme="minorEastAsia"/>
                <w:color w:val="auto"/>
                <w:kern w:val="0"/>
                <w:sz w:val="21"/>
                <w:szCs w:val="21"/>
                <w:highlight w:val="none"/>
              </w:rPr>
            </w:pPr>
            <w:r>
              <w:rPr>
                <w:rFonts w:cs="宋体" w:asciiTheme="minorEastAsia" w:hAnsiTheme="minorEastAsia" w:eastAsiaTheme="minorEastAsia"/>
                <w:color w:val="auto"/>
                <w:kern w:val="0"/>
                <w:sz w:val="21"/>
                <w:szCs w:val="21"/>
                <w:highlight w:val="none"/>
              </w:rPr>
              <w:t>6</w:t>
            </w:r>
          </w:p>
        </w:tc>
        <w:tc>
          <w:tcPr>
            <w:tcW w:w="2719" w:type="pct"/>
            <w:tcBorders>
              <w:top w:val="single" w:color="auto" w:sz="4" w:space="0"/>
              <w:bottom w:val="single" w:color="auto" w:sz="4" w:space="0"/>
            </w:tcBorders>
            <w:vAlign w:val="center"/>
          </w:tcPr>
          <w:p>
            <w:pPr>
              <w:widowControl/>
              <w:spacing w:line="240" w:lineRule="auto"/>
              <w:ind w:firstLine="0" w:firstLineChars="0"/>
              <w:jc w:val="left"/>
              <w:rPr>
                <w:rFonts w:cs="宋体" w:asciiTheme="minorEastAsia" w:hAnsiTheme="minorEastAsia" w:eastAsiaTheme="minorEastAsia"/>
                <w:color w:val="auto"/>
                <w:kern w:val="0"/>
                <w:sz w:val="21"/>
                <w:szCs w:val="21"/>
                <w:highlight w:val="none"/>
              </w:rPr>
            </w:pPr>
            <w:r>
              <w:rPr>
                <w:rFonts w:hint="eastAsia" w:cs="宋体" w:asciiTheme="minorEastAsia" w:hAnsiTheme="minorEastAsia" w:eastAsiaTheme="minorEastAsia"/>
                <w:color w:val="auto"/>
                <w:kern w:val="0"/>
                <w:sz w:val="21"/>
                <w:szCs w:val="21"/>
                <w:highlight w:val="none"/>
              </w:rPr>
              <w:t>大学计算机应用基础、小学综合实践活动、中学数学教学设计、中学信息技术教学设计、中国传统音乐揽胜、迷人的中国——文化精粹赏析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834" w:type="pct"/>
            <w:tcBorders>
              <w:top w:val="single" w:color="auto" w:sz="4" w:space="0"/>
              <w:bottom w:val="single" w:color="auto" w:sz="4" w:space="0"/>
            </w:tcBorders>
            <w:vAlign w:val="center"/>
          </w:tcPr>
          <w:p>
            <w:pPr>
              <w:widowControl/>
              <w:spacing w:line="240" w:lineRule="auto"/>
              <w:ind w:firstLine="0" w:firstLineChars="0"/>
              <w:jc w:val="center"/>
              <w:rPr>
                <w:rFonts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省级一流本科课程</w:t>
            </w:r>
          </w:p>
        </w:tc>
        <w:tc>
          <w:tcPr>
            <w:tcW w:w="445" w:type="pct"/>
            <w:tcBorders>
              <w:top w:val="single" w:color="auto" w:sz="4" w:space="0"/>
              <w:bottom w:val="single" w:color="auto" w:sz="4" w:space="0"/>
            </w:tcBorders>
            <w:vAlign w:val="center"/>
          </w:tcPr>
          <w:p>
            <w:pPr>
              <w:widowControl/>
              <w:spacing w:line="240" w:lineRule="auto"/>
              <w:ind w:firstLine="0" w:firstLineChars="0"/>
              <w:jc w:val="center"/>
              <w:rPr>
                <w:rFonts w:cs="宋体" w:asciiTheme="minorEastAsia" w:hAnsiTheme="minorEastAsia" w:eastAsiaTheme="minorEastAsia"/>
                <w:color w:val="auto"/>
                <w:kern w:val="0"/>
                <w:sz w:val="21"/>
                <w:szCs w:val="21"/>
                <w:highlight w:val="none"/>
              </w:rPr>
            </w:pPr>
            <w:r>
              <w:rPr>
                <w:rFonts w:hint="eastAsia" w:cs="宋体" w:asciiTheme="minorEastAsia" w:hAnsiTheme="minorEastAsia" w:eastAsiaTheme="minorEastAsia"/>
                <w:color w:val="auto"/>
                <w:kern w:val="0"/>
                <w:sz w:val="21"/>
                <w:szCs w:val="21"/>
                <w:highlight w:val="none"/>
              </w:rPr>
              <w:t>161</w:t>
            </w:r>
          </w:p>
        </w:tc>
        <w:tc>
          <w:tcPr>
            <w:tcW w:w="2719" w:type="pct"/>
            <w:tcBorders>
              <w:top w:val="single" w:color="auto" w:sz="4" w:space="0"/>
              <w:bottom w:val="single" w:color="auto" w:sz="4" w:space="0"/>
            </w:tcBorders>
            <w:vAlign w:val="center"/>
          </w:tcPr>
          <w:p>
            <w:pPr>
              <w:widowControl/>
              <w:spacing w:line="240" w:lineRule="auto"/>
              <w:ind w:firstLine="0" w:firstLineChars="0"/>
              <w:jc w:val="left"/>
              <w:rPr>
                <w:rFonts w:cs="宋体" w:asciiTheme="minorEastAsia" w:hAnsiTheme="minorEastAsia" w:eastAsiaTheme="minorEastAsia"/>
                <w:color w:val="auto"/>
                <w:kern w:val="0"/>
                <w:sz w:val="21"/>
                <w:szCs w:val="21"/>
                <w:highlight w:val="none"/>
              </w:rPr>
            </w:pPr>
            <w:r>
              <w:rPr>
                <w:rFonts w:hint="eastAsia" w:cs="宋体" w:asciiTheme="minorEastAsia" w:hAnsiTheme="minorEastAsia" w:eastAsiaTheme="minorEastAsia"/>
                <w:color w:val="auto"/>
                <w:kern w:val="0"/>
                <w:sz w:val="21"/>
                <w:szCs w:val="21"/>
                <w:highlight w:val="none"/>
              </w:rPr>
              <w:t>（略）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834" w:type="pct"/>
            <w:tcBorders>
              <w:top w:val="single" w:color="auto" w:sz="4" w:space="0"/>
              <w:bottom w:val="single" w:color="auto" w:sz="4" w:space="0"/>
            </w:tcBorders>
            <w:vAlign w:val="center"/>
          </w:tcPr>
          <w:p>
            <w:pPr>
              <w:widowControl/>
              <w:spacing w:line="240" w:lineRule="auto"/>
              <w:ind w:firstLine="0" w:firstLineChars="0"/>
              <w:jc w:val="center"/>
              <w:rPr>
                <w:rFonts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省级精品在线开放课程</w:t>
            </w:r>
          </w:p>
        </w:tc>
        <w:tc>
          <w:tcPr>
            <w:tcW w:w="445" w:type="pct"/>
            <w:tcBorders>
              <w:top w:val="single" w:color="auto" w:sz="4" w:space="0"/>
              <w:bottom w:val="single" w:color="auto" w:sz="4" w:space="0"/>
            </w:tcBorders>
            <w:vAlign w:val="center"/>
          </w:tcPr>
          <w:p>
            <w:pPr>
              <w:widowControl/>
              <w:spacing w:line="240" w:lineRule="auto"/>
              <w:ind w:firstLine="0" w:firstLineChars="0"/>
              <w:jc w:val="center"/>
              <w:rPr>
                <w:rFonts w:cs="宋体" w:asciiTheme="minorEastAsia" w:hAnsiTheme="minorEastAsia" w:eastAsiaTheme="minorEastAsia"/>
                <w:color w:val="auto"/>
                <w:kern w:val="0"/>
                <w:sz w:val="21"/>
                <w:szCs w:val="21"/>
                <w:highlight w:val="none"/>
              </w:rPr>
            </w:pPr>
            <w:r>
              <w:rPr>
                <w:rFonts w:hint="eastAsia" w:cs="宋体" w:asciiTheme="minorEastAsia" w:hAnsiTheme="minorEastAsia" w:eastAsiaTheme="minorEastAsia"/>
                <w:color w:val="auto"/>
                <w:kern w:val="0"/>
                <w:sz w:val="21"/>
                <w:szCs w:val="21"/>
                <w:highlight w:val="none"/>
              </w:rPr>
              <w:t>9</w:t>
            </w:r>
          </w:p>
        </w:tc>
        <w:tc>
          <w:tcPr>
            <w:tcW w:w="2719" w:type="pct"/>
            <w:tcBorders>
              <w:top w:val="single" w:color="auto" w:sz="4" w:space="0"/>
              <w:bottom w:val="single" w:color="auto" w:sz="4" w:space="0"/>
            </w:tcBorders>
            <w:vAlign w:val="center"/>
          </w:tcPr>
          <w:p>
            <w:pPr>
              <w:widowControl/>
              <w:spacing w:line="240" w:lineRule="auto"/>
              <w:ind w:firstLine="0" w:firstLineChars="0"/>
              <w:jc w:val="left"/>
              <w:rPr>
                <w:rFonts w:cs="宋体" w:asciiTheme="minorEastAsia" w:hAnsiTheme="minorEastAsia" w:eastAsiaTheme="minorEastAsia"/>
                <w:color w:val="auto"/>
                <w:kern w:val="0"/>
                <w:sz w:val="21"/>
                <w:szCs w:val="21"/>
                <w:highlight w:val="none"/>
              </w:rPr>
            </w:pPr>
            <w:r>
              <w:rPr>
                <w:rFonts w:hint="eastAsia" w:cs="宋体" w:asciiTheme="minorEastAsia" w:hAnsiTheme="minorEastAsia" w:eastAsiaTheme="minorEastAsia"/>
                <w:color w:val="auto"/>
                <w:kern w:val="0"/>
                <w:sz w:val="21"/>
                <w:szCs w:val="21"/>
                <w:highlight w:val="none"/>
              </w:rPr>
              <w:t>（略）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834" w:type="pct"/>
            <w:tcBorders>
              <w:top w:val="single" w:color="auto" w:sz="4" w:space="0"/>
              <w:bottom w:val="single" w:color="auto" w:sz="4" w:space="0"/>
            </w:tcBorders>
            <w:vAlign w:val="center"/>
          </w:tcPr>
          <w:p>
            <w:pPr>
              <w:widowControl/>
              <w:spacing w:line="240" w:lineRule="auto"/>
              <w:ind w:firstLine="0" w:firstLineChars="0"/>
              <w:jc w:val="center"/>
              <w:rPr>
                <w:rFonts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教育部产学合作协同育人项目</w:t>
            </w:r>
          </w:p>
        </w:tc>
        <w:tc>
          <w:tcPr>
            <w:tcW w:w="445" w:type="pct"/>
            <w:tcBorders>
              <w:top w:val="single" w:color="auto" w:sz="4" w:space="0"/>
              <w:bottom w:val="single" w:color="auto" w:sz="4" w:space="0"/>
            </w:tcBorders>
            <w:vAlign w:val="center"/>
          </w:tcPr>
          <w:p>
            <w:pPr>
              <w:widowControl/>
              <w:spacing w:line="240" w:lineRule="auto"/>
              <w:ind w:firstLine="0" w:firstLineChars="0"/>
              <w:jc w:val="center"/>
              <w:rPr>
                <w:rFonts w:hint="default" w:cs="宋体" w:asciiTheme="minorEastAsia" w:hAnsiTheme="minorEastAsia" w:eastAsiaTheme="minorEastAsia"/>
                <w:color w:val="auto"/>
                <w:kern w:val="0"/>
                <w:sz w:val="21"/>
                <w:szCs w:val="21"/>
                <w:highlight w:val="none"/>
                <w:lang w:val="en-US" w:eastAsia="zh-CN"/>
              </w:rPr>
            </w:pPr>
            <w:r>
              <w:rPr>
                <w:rFonts w:hint="eastAsia" w:cs="宋体" w:asciiTheme="minorEastAsia" w:hAnsiTheme="minorEastAsia" w:eastAsiaTheme="minorEastAsia"/>
                <w:bCs/>
                <w:color w:val="auto"/>
                <w:sz w:val="21"/>
                <w:szCs w:val="21"/>
                <w:highlight w:val="yellow"/>
                <w:lang w:val="en-US" w:eastAsia="zh-CN"/>
              </w:rPr>
              <w:t>219</w:t>
            </w:r>
          </w:p>
        </w:tc>
        <w:tc>
          <w:tcPr>
            <w:tcW w:w="2719" w:type="pct"/>
            <w:tcBorders>
              <w:top w:val="single" w:color="auto" w:sz="4" w:space="0"/>
              <w:bottom w:val="single" w:color="auto" w:sz="4" w:space="0"/>
            </w:tcBorders>
            <w:vAlign w:val="center"/>
          </w:tcPr>
          <w:p>
            <w:pPr>
              <w:widowControl/>
              <w:spacing w:line="240" w:lineRule="auto"/>
              <w:ind w:firstLine="0" w:firstLineChars="0"/>
              <w:jc w:val="left"/>
              <w:rPr>
                <w:rFonts w:cs="宋体" w:asciiTheme="minorEastAsia" w:hAnsiTheme="minorEastAsia" w:eastAsiaTheme="minorEastAsia"/>
                <w:color w:val="auto"/>
                <w:kern w:val="0"/>
                <w:sz w:val="21"/>
                <w:szCs w:val="21"/>
                <w:highlight w:val="none"/>
              </w:rPr>
            </w:pPr>
            <w:r>
              <w:rPr>
                <w:rFonts w:hint="eastAsia" w:cs="宋体" w:asciiTheme="minorEastAsia" w:hAnsiTheme="minorEastAsia" w:eastAsiaTheme="minorEastAsia"/>
                <w:color w:val="auto"/>
                <w:kern w:val="0"/>
                <w:sz w:val="21"/>
                <w:szCs w:val="21"/>
                <w:highlight w:val="none"/>
              </w:rPr>
              <w:t>（略）</w:t>
            </w:r>
            <w:bookmarkStart w:id="549" w:name="_GoBack"/>
            <w:bookmarkEnd w:id="54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834" w:type="pct"/>
            <w:tcBorders>
              <w:top w:val="single" w:color="auto" w:sz="4" w:space="0"/>
              <w:bottom w:val="single" w:color="auto" w:sz="4" w:space="0"/>
            </w:tcBorders>
            <w:vAlign w:val="center"/>
          </w:tcPr>
          <w:p>
            <w:pPr>
              <w:widowControl/>
              <w:spacing w:line="240" w:lineRule="auto"/>
              <w:ind w:firstLine="0" w:firstLineChars="0"/>
              <w:jc w:val="center"/>
              <w:rPr>
                <w:rFonts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省产学合作协同育人项目</w:t>
            </w:r>
          </w:p>
        </w:tc>
        <w:tc>
          <w:tcPr>
            <w:tcW w:w="445" w:type="pct"/>
            <w:tcBorders>
              <w:top w:val="single" w:color="auto" w:sz="4" w:space="0"/>
              <w:bottom w:val="single" w:color="auto" w:sz="4" w:space="0"/>
            </w:tcBorders>
            <w:vAlign w:val="center"/>
          </w:tcPr>
          <w:p>
            <w:pPr>
              <w:widowControl/>
              <w:spacing w:line="240" w:lineRule="auto"/>
              <w:ind w:firstLine="0" w:firstLineChars="0"/>
              <w:jc w:val="center"/>
              <w:rPr>
                <w:rFonts w:hint="default" w:cs="宋体" w:asciiTheme="minorEastAsia" w:hAnsiTheme="minorEastAsia" w:eastAsiaTheme="minorEastAsia"/>
                <w:bCs/>
                <w:color w:val="auto"/>
                <w:sz w:val="21"/>
                <w:szCs w:val="21"/>
                <w:highlight w:val="none"/>
                <w:lang w:val="en-US" w:eastAsia="zh-CN"/>
              </w:rPr>
            </w:pPr>
            <w:r>
              <w:rPr>
                <w:rFonts w:hint="eastAsia" w:cs="宋体" w:asciiTheme="minorEastAsia" w:hAnsiTheme="minorEastAsia" w:eastAsiaTheme="minorEastAsia"/>
                <w:bCs/>
                <w:color w:val="auto"/>
                <w:sz w:val="21"/>
                <w:szCs w:val="21"/>
                <w:highlight w:val="none"/>
                <w:lang w:val="en-US" w:eastAsia="zh-CN"/>
              </w:rPr>
              <w:t>34</w:t>
            </w:r>
          </w:p>
        </w:tc>
        <w:tc>
          <w:tcPr>
            <w:tcW w:w="2719" w:type="pct"/>
            <w:tcBorders>
              <w:top w:val="single" w:color="auto" w:sz="4" w:space="0"/>
              <w:bottom w:val="single" w:color="auto" w:sz="4" w:space="0"/>
            </w:tcBorders>
            <w:vAlign w:val="center"/>
          </w:tcPr>
          <w:p>
            <w:pPr>
              <w:widowControl/>
              <w:spacing w:line="240" w:lineRule="auto"/>
              <w:ind w:firstLine="0" w:firstLineChars="0"/>
              <w:jc w:val="left"/>
              <w:rPr>
                <w:rFonts w:cs="宋体" w:asciiTheme="minorEastAsia" w:hAnsiTheme="minorEastAsia" w:eastAsiaTheme="minorEastAsia"/>
                <w:color w:val="auto"/>
                <w:kern w:val="0"/>
                <w:sz w:val="21"/>
                <w:szCs w:val="21"/>
                <w:highlight w:val="none"/>
              </w:rPr>
            </w:pPr>
            <w:r>
              <w:rPr>
                <w:rFonts w:hint="eastAsia" w:cs="宋体" w:asciiTheme="minorEastAsia" w:hAnsiTheme="minorEastAsia" w:eastAsiaTheme="minorEastAsia"/>
                <w:color w:val="auto"/>
                <w:kern w:val="0"/>
                <w:sz w:val="21"/>
                <w:szCs w:val="21"/>
                <w:highlight w:val="none"/>
              </w:rPr>
              <w:t>（略）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834" w:type="pct"/>
            <w:tcBorders>
              <w:top w:val="single" w:color="auto" w:sz="4" w:space="0"/>
              <w:bottom w:val="single" w:color="auto" w:sz="4" w:space="0"/>
            </w:tcBorders>
            <w:vAlign w:val="center"/>
          </w:tcPr>
          <w:p>
            <w:pPr>
              <w:widowControl/>
              <w:spacing w:line="240" w:lineRule="auto"/>
              <w:ind w:firstLine="0" w:firstLineChars="0"/>
              <w:jc w:val="center"/>
              <w:rPr>
                <w:rFonts w:hint="eastAsia"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省高等教育教学改革</w:t>
            </w:r>
          </w:p>
          <w:p>
            <w:pPr>
              <w:widowControl/>
              <w:spacing w:line="240" w:lineRule="auto"/>
              <w:ind w:firstLine="0" w:firstLineChars="0"/>
              <w:jc w:val="center"/>
              <w:rPr>
                <w:rFonts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和课堂教学改革项目</w:t>
            </w:r>
          </w:p>
        </w:tc>
        <w:tc>
          <w:tcPr>
            <w:tcW w:w="445" w:type="pct"/>
            <w:tcBorders>
              <w:top w:val="single" w:color="auto" w:sz="4" w:space="0"/>
              <w:bottom w:val="single" w:color="auto" w:sz="4" w:space="0"/>
            </w:tcBorders>
            <w:vAlign w:val="center"/>
          </w:tcPr>
          <w:p>
            <w:pPr>
              <w:widowControl/>
              <w:spacing w:line="240" w:lineRule="auto"/>
              <w:ind w:firstLine="0" w:firstLineChars="0"/>
              <w:jc w:val="center"/>
              <w:rPr>
                <w:rFonts w:hint="default" w:cs="宋体" w:asciiTheme="minorEastAsia" w:hAnsiTheme="minorEastAsia" w:eastAsiaTheme="minorEastAsia"/>
                <w:color w:val="auto"/>
                <w:kern w:val="0"/>
                <w:sz w:val="21"/>
                <w:szCs w:val="21"/>
                <w:highlight w:val="none"/>
                <w:lang w:val="en-US" w:eastAsia="zh-CN"/>
              </w:rPr>
            </w:pPr>
            <w:r>
              <w:rPr>
                <w:rFonts w:hint="eastAsia" w:cs="宋体" w:asciiTheme="minorEastAsia" w:hAnsiTheme="minorEastAsia" w:eastAsiaTheme="minorEastAsia"/>
                <w:color w:val="auto"/>
                <w:kern w:val="0"/>
                <w:sz w:val="21"/>
                <w:szCs w:val="21"/>
                <w:highlight w:val="none"/>
                <w:lang w:val="en-US" w:eastAsia="zh-CN"/>
              </w:rPr>
              <w:t>189</w:t>
            </w:r>
          </w:p>
        </w:tc>
        <w:tc>
          <w:tcPr>
            <w:tcW w:w="2719" w:type="pct"/>
            <w:tcBorders>
              <w:top w:val="single" w:color="auto" w:sz="4" w:space="0"/>
              <w:bottom w:val="single" w:color="auto" w:sz="4" w:space="0"/>
            </w:tcBorders>
            <w:vAlign w:val="center"/>
          </w:tcPr>
          <w:p>
            <w:pPr>
              <w:widowControl/>
              <w:spacing w:line="240" w:lineRule="auto"/>
              <w:ind w:firstLine="0" w:firstLineChars="0"/>
              <w:jc w:val="left"/>
              <w:rPr>
                <w:rFonts w:cs="宋体" w:asciiTheme="minorEastAsia" w:hAnsiTheme="minorEastAsia" w:eastAsiaTheme="minorEastAsia"/>
                <w:color w:val="auto"/>
                <w:kern w:val="0"/>
                <w:sz w:val="21"/>
                <w:szCs w:val="21"/>
                <w:highlight w:val="none"/>
              </w:rPr>
            </w:pPr>
            <w:r>
              <w:rPr>
                <w:rFonts w:hint="eastAsia" w:cs="宋体" w:asciiTheme="minorEastAsia" w:hAnsiTheme="minorEastAsia" w:eastAsiaTheme="minorEastAsia"/>
                <w:color w:val="auto"/>
                <w:kern w:val="0"/>
                <w:sz w:val="21"/>
                <w:szCs w:val="21"/>
                <w:highlight w:val="none"/>
              </w:rPr>
              <w:t>（略）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834" w:type="pct"/>
            <w:tcBorders>
              <w:top w:val="single" w:color="auto" w:sz="4" w:space="0"/>
              <w:bottom w:val="single" w:color="auto" w:sz="4" w:space="0"/>
            </w:tcBorders>
            <w:vAlign w:val="center"/>
          </w:tcPr>
          <w:p>
            <w:pPr>
              <w:widowControl/>
              <w:spacing w:line="240" w:lineRule="auto"/>
              <w:ind w:firstLine="0" w:firstLineChars="0"/>
              <w:jc w:val="center"/>
              <w:rPr>
                <w:rFonts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国家规划教材</w:t>
            </w:r>
          </w:p>
        </w:tc>
        <w:tc>
          <w:tcPr>
            <w:tcW w:w="445" w:type="pct"/>
            <w:tcBorders>
              <w:top w:val="single" w:color="auto" w:sz="4" w:space="0"/>
              <w:bottom w:val="single" w:color="auto" w:sz="4" w:space="0"/>
            </w:tcBorders>
            <w:vAlign w:val="center"/>
          </w:tcPr>
          <w:p>
            <w:pPr>
              <w:widowControl/>
              <w:spacing w:line="240" w:lineRule="auto"/>
              <w:ind w:firstLine="0" w:firstLineChars="0"/>
              <w:jc w:val="center"/>
              <w:rPr>
                <w:rFonts w:hint="default" w:cs="宋体" w:asciiTheme="minorEastAsia" w:hAnsiTheme="minorEastAsia" w:eastAsiaTheme="minorEastAsia"/>
                <w:color w:val="auto"/>
                <w:kern w:val="0"/>
                <w:sz w:val="21"/>
                <w:szCs w:val="21"/>
                <w:highlight w:val="none"/>
                <w:lang w:val="en-US" w:eastAsia="zh-CN"/>
              </w:rPr>
            </w:pPr>
            <w:r>
              <w:rPr>
                <w:rFonts w:hint="eastAsia" w:cs="宋体" w:asciiTheme="minorEastAsia" w:hAnsiTheme="minorEastAsia" w:eastAsiaTheme="minorEastAsia"/>
                <w:color w:val="auto"/>
                <w:kern w:val="0"/>
                <w:sz w:val="21"/>
                <w:szCs w:val="21"/>
                <w:highlight w:val="yellow"/>
                <w:lang w:val="en-US" w:eastAsia="zh-CN"/>
              </w:rPr>
              <w:t>18</w:t>
            </w:r>
          </w:p>
        </w:tc>
        <w:tc>
          <w:tcPr>
            <w:tcW w:w="2719" w:type="pct"/>
            <w:tcBorders>
              <w:top w:val="single" w:color="auto" w:sz="4" w:space="0"/>
              <w:bottom w:val="single" w:color="auto" w:sz="4" w:space="0"/>
            </w:tcBorders>
            <w:vAlign w:val="center"/>
          </w:tcPr>
          <w:p>
            <w:pPr>
              <w:widowControl/>
              <w:spacing w:line="240" w:lineRule="auto"/>
              <w:ind w:firstLine="0" w:firstLineChars="0"/>
              <w:jc w:val="left"/>
              <w:rPr>
                <w:rFonts w:cs="宋体" w:asciiTheme="minorEastAsia" w:hAnsiTheme="minorEastAsia" w:eastAsiaTheme="minorEastAsia"/>
                <w:color w:val="auto"/>
                <w:kern w:val="0"/>
                <w:sz w:val="21"/>
                <w:szCs w:val="21"/>
                <w:highlight w:val="none"/>
              </w:rPr>
            </w:pPr>
            <w:r>
              <w:rPr>
                <w:rFonts w:hint="eastAsia" w:cs="宋体" w:asciiTheme="minorEastAsia" w:hAnsiTheme="minorEastAsia" w:eastAsiaTheme="minorEastAsia"/>
                <w:color w:val="auto"/>
                <w:kern w:val="0"/>
                <w:sz w:val="21"/>
                <w:szCs w:val="21"/>
                <w:highlight w:val="none"/>
              </w:rPr>
              <w:t>（略）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834" w:type="pct"/>
            <w:tcBorders>
              <w:top w:val="single" w:color="auto" w:sz="4" w:space="0"/>
              <w:bottom w:val="single" w:color="auto" w:sz="4" w:space="0"/>
            </w:tcBorders>
            <w:vAlign w:val="center"/>
          </w:tcPr>
          <w:p>
            <w:pPr>
              <w:widowControl/>
              <w:spacing w:line="240" w:lineRule="auto"/>
              <w:ind w:firstLine="0" w:firstLineChars="0"/>
              <w:jc w:val="center"/>
              <w:rPr>
                <w:rFonts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省级重点教材</w:t>
            </w:r>
          </w:p>
        </w:tc>
        <w:tc>
          <w:tcPr>
            <w:tcW w:w="445" w:type="pct"/>
            <w:tcBorders>
              <w:top w:val="single" w:color="auto" w:sz="4" w:space="0"/>
              <w:bottom w:val="single" w:color="auto" w:sz="4" w:space="0"/>
            </w:tcBorders>
            <w:vAlign w:val="center"/>
          </w:tcPr>
          <w:p>
            <w:pPr>
              <w:widowControl/>
              <w:spacing w:line="240" w:lineRule="auto"/>
              <w:ind w:firstLine="0" w:firstLineChars="0"/>
              <w:jc w:val="center"/>
              <w:rPr>
                <w:rFonts w:hint="default" w:cs="宋体" w:asciiTheme="minorEastAsia" w:hAnsiTheme="minorEastAsia" w:eastAsiaTheme="minorEastAsia"/>
                <w:color w:val="auto"/>
                <w:kern w:val="0"/>
                <w:sz w:val="21"/>
                <w:szCs w:val="21"/>
                <w:highlight w:val="none"/>
                <w:lang w:val="en-US" w:eastAsia="zh-CN"/>
              </w:rPr>
            </w:pPr>
            <w:r>
              <w:rPr>
                <w:rFonts w:hint="eastAsia" w:cs="宋体" w:asciiTheme="minorEastAsia" w:hAnsiTheme="minorEastAsia" w:eastAsiaTheme="minorEastAsia"/>
                <w:color w:val="auto"/>
                <w:kern w:val="0"/>
                <w:sz w:val="21"/>
                <w:szCs w:val="21"/>
                <w:highlight w:val="none"/>
                <w:lang w:val="en-US" w:eastAsia="zh-CN"/>
              </w:rPr>
              <w:t>122</w:t>
            </w:r>
          </w:p>
        </w:tc>
        <w:tc>
          <w:tcPr>
            <w:tcW w:w="2719" w:type="pct"/>
            <w:tcBorders>
              <w:top w:val="single" w:color="auto" w:sz="4" w:space="0"/>
              <w:bottom w:val="single" w:color="auto" w:sz="4" w:space="0"/>
            </w:tcBorders>
            <w:vAlign w:val="center"/>
          </w:tcPr>
          <w:p>
            <w:pPr>
              <w:widowControl/>
              <w:spacing w:line="240" w:lineRule="auto"/>
              <w:ind w:firstLine="0" w:firstLineChars="0"/>
              <w:jc w:val="left"/>
              <w:rPr>
                <w:rFonts w:cs="宋体" w:asciiTheme="minorEastAsia" w:hAnsiTheme="minorEastAsia" w:eastAsiaTheme="minorEastAsia"/>
                <w:color w:val="auto"/>
                <w:kern w:val="0"/>
                <w:sz w:val="21"/>
                <w:szCs w:val="21"/>
                <w:highlight w:val="none"/>
              </w:rPr>
            </w:pPr>
            <w:r>
              <w:rPr>
                <w:rFonts w:hint="eastAsia" w:cs="宋体" w:asciiTheme="minorEastAsia" w:hAnsiTheme="minorEastAsia" w:eastAsiaTheme="minorEastAsia"/>
                <w:color w:val="auto"/>
                <w:kern w:val="0"/>
                <w:sz w:val="21"/>
                <w:szCs w:val="21"/>
                <w:highlight w:val="none"/>
              </w:rPr>
              <w:t>（略）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834" w:type="pct"/>
            <w:tcBorders>
              <w:top w:val="single" w:color="auto" w:sz="4" w:space="0"/>
              <w:bottom w:val="single" w:color="auto" w:sz="4" w:space="0"/>
            </w:tcBorders>
            <w:vAlign w:val="center"/>
          </w:tcPr>
          <w:p>
            <w:pPr>
              <w:widowControl/>
              <w:spacing w:line="240" w:lineRule="auto"/>
              <w:ind w:firstLine="0" w:firstLineChars="0"/>
              <w:jc w:val="center"/>
              <w:rPr>
                <w:rFonts w:hint="eastAsia"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国家级实验教学示范中心</w:t>
            </w:r>
          </w:p>
          <w:p>
            <w:pPr>
              <w:widowControl/>
              <w:spacing w:line="240" w:lineRule="auto"/>
              <w:ind w:firstLine="0" w:firstLineChars="0"/>
              <w:jc w:val="center"/>
              <w:rPr>
                <w:rFonts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（含虚拟仿真实验教学中心）</w:t>
            </w:r>
          </w:p>
        </w:tc>
        <w:tc>
          <w:tcPr>
            <w:tcW w:w="445" w:type="pct"/>
            <w:tcBorders>
              <w:top w:val="single" w:color="auto" w:sz="4" w:space="0"/>
              <w:bottom w:val="single" w:color="auto" w:sz="4" w:space="0"/>
            </w:tcBorders>
            <w:vAlign w:val="center"/>
          </w:tcPr>
          <w:p>
            <w:pPr>
              <w:widowControl/>
              <w:spacing w:line="240" w:lineRule="auto"/>
              <w:ind w:firstLine="0" w:firstLineChars="0"/>
              <w:jc w:val="center"/>
              <w:rPr>
                <w:rFonts w:cs="宋体" w:asciiTheme="minorEastAsia" w:hAnsiTheme="minorEastAsia" w:eastAsiaTheme="minorEastAsia"/>
                <w:color w:val="auto"/>
                <w:kern w:val="0"/>
                <w:sz w:val="21"/>
                <w:szCs w:val="21"/>
                <w:highlight w:val="none"/>
              </w:rPr>
            </w:pPr>
            <w:r>
              <w:rPr>
                <w:rFonts w:hint="eastAsia" w:cs="宋体" w:asciiTheme="minorEastAsia" w:hAnsiTheme="minorEastAsia" w:eastAsiaTheme="minorEastAsia"/>
                <w:color w:val="auto"/>
                <w:kern w:val="0"/>
                <w:sz w:val="21"/>
                <w:szCs w:val="21"/>
                <w:highlight w:val="none"/>
              </w:rPr>
              <w:t>2</w:t>
            </w:r>
          </w:p>
        </w:tc>
        <w:tc>
          <w:tcPr>
            <w:tcW w:w="2719" w:type="pct"/>
            <w:tcBorders>
              <w:top w:val="single" w:color="auto" w:sz="4" w:space="0"/>
              <w:bottom w:val="single" w:color="auto" w:sz="4" w:space="0"/>
            </w:tcBorders>
            <w:vAlign w:val="center"/>
          </w:tcPr>
          <w:p>
            <w:pPr>
              <w:widowControl/>
              <w:spacing w:line="240" w:lineRule="auto"/>
              <w:ind w:firstLine="0" w:firstLineChars="0"/>
              <w:jc w:val="left"/>
              <w:rPr>
                <w:rFonts w:cs="宋体" w:asciiTheme="minorEastAsia" w:hAnsiTheme="minorEastAsia" w:eastAsiaTheme="minorEastAsia"/>
                <w:color w:val="auto"/>
                <w:kern w:val="0"/>
                <w:sz w:val="21"/>
                <w:szCs w:val="21"/>
                <w:highlight w:val="none"/>
              </w:rPr>
            </w:pPr>
            <w:r>
              <w:rPr>
                <w:rFonts w:hint="eastAsia" w:cs="宋体" w:asciiTheme="minorEastAsia" w:hAnsiTheme="minorEastAsia" w:eastAsiaTheme="minorEastAsia"/>
                <w:color w:val="auto"/>
                <w:kern w:val="0"/>
                <w:sz w:val="21"/>
                <w:szCs w:val="21"/>
                <w:highlight w:val="none"/>
              </w:rPr>
              <w:t>音乐与舞蹈艺术实验教学中心、科学健身与运动技能虚拟仿真实验教学中心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834" w:type="pct"/>
            <w:tcBorders>
              <w:top w:val="single" w:color="auto" w:sz="4" w:space="0"/>
              <w:bottom w:val="single" w:color="auto" w:sz="4" w:space="0"/>
            </w:tcBorders>
            <w:vAlign w:val="center"/>
          </w:tcPr>
          <w:p>
            <w:pPr>
              <w:widowControl/>
              <w:spacing w:line="240" w:lineRule="auto"/>
              <w:ind w:firstLine="0" w:firstLineChars="0"/>
              <w:jc w:val="center"/>
              <w:rPr>
                <w:rFonts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国家虚拟仿真实验教学项目</w:t>
            </w:r>
          </w:p>
        </w:tc>
        <w:tc>
          <w:tcPr>
            <w:tcW w:w="445" w:type="pct"/>
            <w:tcBorders>
              <w:top w:val="single" w:color="auto" w:sz="4" w:space="0"/>
              <w:bottom w:val="single" w:color="auto" w:sz="4" w:space="0"/>
            </w:tcBorders>
            <w:vAlign w:val="center"/>
          </w:tcPr>
          <w:p>
            <w:pPr>
              <w:widowControl/>
              <w:spacing w:line="240" w:lineRule="auto"/>
              <w:ind w:firstLine="0" w:firstLineChars="0"/>
              <w:jc w:val="center"/>
              <w:rPr>
                <w:rFonts w:hint="eastAsia" w:cs="宋体" w:asciiTheme="minorEastAsia" w:hAnsiTheme="minorEastAsia" w:eastAsiaTheme="minorEastAsia"/>
                <w:color w:val="auto"/>
                <w:kern w:val="0"/>
                <w:sz w:val="21"/>
                <w:szCs w:val="21"/>
                <w:highlight w:val="none"/>
                <w:lang w:eastAsia="zh-CN"/>
              </w:rPr>
            </w:pPr>
            <w:r>
              <w:rPr>
                <w:rFonts w:hint="eastAsia" w:cs="宋体" w:asciiTheme="minorEastAsia" w:hAnsiTheme="minorEastAsia" w:eastAsiaTheme="minorEastAsia"/>
                <w:color w:val="auto"/>
                <w:kern w:val="0"/>
                <w:sz w:val="21"/>
                <w:szCs w:val="21"/>
                <w:highlight w:val="yellow"/>
                <w:lang w:val="en-US" w:eastAsia="zh-CN"/>
              </w:rPr>
              <w:t>4</w:t>
            </w:r>
          </w:p>
        </w:tc>
        <w:tc>
          <w:tcPr>
            <w:tcW w:w="2719" w:type="pct"/>
            <w:tcBorders>
              <w:top w:val="single" w:color="auto" w:sz="4" w:space="0"/>
              <w:bottom w:val="single" w:color="auto" w:sz="4" w:space="0"/>
            </w:tcBorders>
            <w:vAlign w:val="center"/>
          </w:tcPr>
          <w:p>
            <w:pPr>
              <w:widowControl/>
              <w:spacing w:line="240" w:lineRule="auto"/>
              <w:ind w:firstLine="0" w:firstLineChars="0"/>
              <w:jc w:val="left"/>
              <w:rPr>
                <w:rFonts w:hint="eastAsia" w:cs="宋体" w:asciiTheme="minorEastAsia" w:hAnsiTheme="minorEastAsia" w:eastAsiaTheme="minorEastAsia"/>
                <w:color w:val="auto"/>
                <w:kern w:val="0"/>
                <w:sz w:val="21"/>
                <w:szCs w:val="21"/>
                <w:highlight w:val="none"/>
                <w:lang w:eastAsia="zh-CN"/>
              </w:rPr>
            </w:pPr>
            <w:r>
              <w:rPr>
                <w:rFonts w:hint="eastAsia" w:cs="宋体" w:asciiTheme="minorEastAsia" w:hAnsiTheme="minorEastAsia" w:eastAsiaTheme="minorEastAsia"/>
                <w:color w:val="auto"/>
                <w:kern w:val="0"/>
                <w:sz w:val="21"/>
                <w:szCs w:val="21"/>
                <w:highlight w:val="none"/>
              </w:rPr>
              <w:t>珍稀保护药用生物资源研究与应用的综合性虚拟仿真实验教学项目、心血管疾病介入诊疗技术虚拟仿真实验教学项目</w:t>
            </w:r>
            <w:r>
              <w:rPr>
                <w:rFonts w:hint="eastAsia" w:cs="宋体" w:asciiTheme="minorEastAsia" w:hAnsiTheme="minorEastAsia" w:eastAsiaTheme="minorEastAsia"/>
                <w:color w:val="auto"/>
                <w:kern w:val="0"/>
                <w:sz w:val="21"/>
                <w:szCs w:val="21"/>
                <w:highlight w:val="none"/>
                <w:lang w:eastAsia="zh-CN"/>
              </w:rPr>
              <w:t>、3～6岁幼儿心理问题的教育观察、辨别与辅导的虚拟仿真教学实验、常见颈肩腰膝痛的针刀治疗仿真训练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834" w:type="pct"/>
            <w:tcBorders>
              <w:top w:val="single" w:color="auto" w:sz="4" w:space="0"/>
              <w:bottom w:val="single" w:color="auto" w:sz="4" w:space="0"/>
            </w:tcBorders>
            <w:vAlign w:val="center"/>
          </w:tcPr>
          <w:p>
            <w:pPr>
              <w:widowControl/>
              <w:spacing w:line="240" w:lineRule="auto"/>
              <w:ind w:firstLine="0" w:firstLineChars="0"/>
              <w:jc w:val="center"/>
              <w:rPr>
                <w:rFonts w:hint="eastAsia"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省级实验教学示范中心</w:t>
            </w:r>
          </w:p>
          <w:p>
            <w:pPr>
              <w:widowControl/>
              <w:spacing w:line="240" w:lineRule="auto"/>
              <w:ind w:firstLine="0" w:firstLineChars="0"/>
              <w:jc w:val="center"/>
              <w:rPr>
                <w:rFonts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及重点建设点</w:t>
            </w:r>
          </w:p>
        </w:tc>
        <w:tc>
          <w:tcPr>
            <w:tcW w:w="445" w:type="pct"/>
            <w:tcBorders>
              <w:top w:val="single" w:color="auto" w:sz="4" w:space="0"/>
              <w:bottom w:val="single" w:color="auto" w:sz="4" w:space="0"/>
            </w:tcBorders>
            <w:vAlign w:val="center"/>
          </w:tcPr>
          <w:p>
            <w:pPr>
              <w:widowControl/>
              <w:spacing w:line="240" w:lineRule="auto"/>
              <w:ind w:firstLine="0" w:firstLineChars="0"/>
              <w:jc w:val="center"/>
              <w:rPr>
                <w:rFonts w:hint="default" w:cs="宋体" w:asciiTheme="minorEastAsia" w:hAnsiTheme="minorEastAsia" w:eastAsiaTheme="minorEastAsia"/>
                <w:color w:val="auto"/>
                <w:kern w:val="0"/>
                <w:sz w:val="21"/>
                <w:szCs w:val="21"/>
                <w:highlight w:val="none"/>
                <w:lang w:val="en-US" w:eastAsia="zh-CN"/>
              </w:rPr>
            </w:pPr>
            <w:r>
              <w:rPr>
                <w:rFonts w:hint="eastAsia" w:cs="宋体" w:asciiTheme="minorEastAsia" w:hAnsiTheme="minorEastAsia" w:eastAsiaTheme="minorEastAsia"/>
                <w:color w:val="auto"/>
                <w:kern w:val="0"/>
                <w:sz w:val="21"/>
                <w:szCs w:val="21"/>
                <w:highlight w:val="yellow"/>
                <w:lang w:val="en-US" w:eastAsia="zh-CN"/>
              </w:rPr>
              <w:t>12</w:t>
            </w:r>
          </w:p>
        </w:tc>
        <w:tc>
          <w:tcPr>
            <w:tcW w:w="2719" w:type="pct"/>
            <w:tcBorders>
              <w:top w:val="single" w:color="auto" w:sz="4" w:space="0"/>
              <w:bottom w:val="single" w:color="auto" w:sz="4" w:space="0"/>
            </w:tcBorders>
            <w:vAlign w:val="center"/>
          </w:tcPr>
          <w:p>
            <w:pPr>
              <w:widowControl/>
              <w:spacing w:line="240" w:lineRule="auto"/>
              <w:ind w:firstLine="0" w:firstLineChars="0"/>
              <w:jc w:val="left"/>
              <w:rPr>
                <w:rFonts w:hint="eastAsia" w:cs="宋体" w:asciiTheme="minorEastAsia" w:hAnsiTheme="minorEastAsia" w:eastAsiaTheme="minorEastAsia"/>
                <w:color w:val="auto"/>
                <w:kern w:val="0"/>
                <w:sz w:val="21"/>
                <w:szCs w:val="21"/>
                <w:highlight w:val="none"/>
                <w:lang w:eastAsia="zh-CN"/>
              </w:rPr>
            </w:pPr>
            <w:r>
              <w:rPr>
                <w:rFonts w:hint="eastAsia" w:cs="宋体" w:asciiTheme="minorEastAsia" w:hAnsiTheme="minorEastAsia" w:eastAsiaTheme="minorEastAsia"/>
                <w:color w:val="auto"/>
                <w:kern w:val="0"/>
                <w:sz w:val="21"/>
                <w:szCs w:val="21"/>
                <w:highlight w:val="none"/>
              </w:rPr>
              <w:t>生物实验教学中心、艺术实践实验教学中心、医学基础实验教学中心、物理实验教学中心、化学实验教学中心、护理学实验教学中心、体育与运动休闲实验教学中心、教师技能实验教学中心、数字经济实验教学中心、临床技能实验教学中心</w:t>
            </w:r>
            <w:r>
              <w:rPr>
                <w:rFonts w:hint="eastAsia" w:cs="宋体" w:asciiTheme="minorEastAsia" w:hAnsiTheme="minorEastAsia" w:eastAsiaTheme="minorEastAsia"/>
                <w:color w:val="auto"/>
                <w:kern w:val="0"/>
                <w:sz w:val="21"/>
                <w:szCs w:val="21"/>
                <w:highlight w:val="none"/>
                <w:lang w:eastAsia="zh-CN"/>
              </w:rPr>
              <w:t>、教师教育实验实训中心、大学物理实验教学中心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834" w:type="pct"/>
            <w:tcBorders>
              <w:top w:val="single" w:color="auto" w:sz="4" w:space="0"/>
              <w:bottom w:val="single" w:color="auto" w:sz="4" w:space="0"/>
            </w:tcBorders>
            <w:vAlign w:val="center"/>
          </w:tcPr>
          <w:p>
            <w:pPr>
              <w:widowControl/>
              <w:spacing w:line="240" w:lineRule="auto"/>
              <w:ind w:firstLine="0" w:firstLineChars="0"/>
              <w:jc w:val="center"/>
              <w:rPr>
                <w:rFonts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国家级大学生校外实践教育基地</w:t>
            </w:r>
          </w:p>
        </w:tc>
        <w:tc>
          <w:tcPr>
            <w:tcW w:w="445" w:type="pct"/>
            <w:tcBorders>
              <w:top w:val="single" w:color="auto" w:sz="4" w:space="0"/>
              <w:bottom w:val="single" w:color="auto" w:sz="4" w:space="0"/>
            </w:tcBorders>
            <w:vAlign w:val="center"/>
          </w:tcPr>
          <w:p>
            <w:pPr>
              <w:widowControl/>
              <w:spacing w:line="240" w:lineRule="auto"/>
              <w:ind w:firstLine="0" w:firstLineChars="0"/>
              <w:jc w:val="center"/>
              <w:rPr>
                <w:rFonts w:cs="宋体" w:asciiTheme="minorEastAsia" w:hAnsiTheme="minorEastAsia" w:eastAsiaTheme="minorEastAsia"/>
                <w:color w:val="auto"/>
                <w:kern w:val="0"/>
                <w:sz w:val="21"/>
                <w:szCs w:val="21"/>
                <w:highlight w:val="none"/>
              </w:rPr>
            </w:pPr>
            <w:r>
              <w:rPr>
                <w:rFonts w:hint="eastAsia" w:cs="宋体" w:asciiTheme="minorEastAsia" w:hAnsiTheme="minorEastAsia" w:eastAsiaTheme="minorEastAsia"/>
                <w:color w:val="auto"/>
                <w:kern w:val="0"/>
                <w:sz w:val="21"/>
                <w:szCs w:val="21"/>
                <w:highlight w:val="none"/>
              </w:rPr>
              <w:t>1</w:t>
            </w:r>
          </w:p>
        </w:tc>
        <w:tc>
          <w:tcPr>
            <w:tcW w:w="2719" w:type="pct"/>
            <w:tcBorders>
              <w:top w:val="single" w:color="auto" w:sz="4" w:space="0"/>
              <w:bottom w:val="single" w:color="auto" w:sz="4" w:space="0"/>
            </w:tcBorders>
            <w:vAlign w:val="center"/>
          </w:tcPr>
          <w:p>
            <w:pPr>
              <w:widowControl/>
              <w:spacing w:line="240" w:lineRule="auto"/>
              <w:ind w:firstLine="0" w:firstLineChars="0"/>
              <w:jc w:val="left"/>
              <w:rPr>
                <w:rFonts w:cs="宋体" w:asciiTheme="minorEastAsia" w:hAnsiTheme="minorEastAsia" w:eastAsiaTheme="minorEastAsia"/>
                <w:color w:val="auto"/>
                <w:kern w:val="0"/>
                <w:sz w:val="21"/>
                <w:szCs w:val="21"/>
                <w:highlight w:val="none"/>
              </w:rPr>
            </w:pPr>
            <w:r>
              <w:rPr>
                <w:rFonts w:hint="eastAsia" w:cs="宋体" w:asciiTheme="minorEastAsia" w:hAnsiTheme="minorEastAsia" w:eastAsiaTheme="minorEastAsia"/>
                <w:color w:val="auto"/>
                <w:kern w:val="0"/>
                <w:sz w:val="21"/>
                <w:szCs w:val="21"/>
                <w:highlight w:val="none"/>
              </w:rPr>
              <w:t>杭州师范大学-阿里巴巴（中国）有限公司管理学实践教育基地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834" w:type="pct"/>
            <w:tcBorders>
              <w:top w:val="single" w:color="auto" w:sz="4" w:space="0"/>
              <w:bottom w:val="single" w:color="auto" w:sz="4" w:space="0"/>
            </w:tcBorders>
            <w:vAlign w:val="center"/>
          </w:tcPr>
          <w:p>
            <w:pPr>
              <w:widowControl/>
              <w:spacing w:line="240" w:lineRule="auto"/>
              <w:ind w:firstLine="0" w:firstLineChars="0"/>
              <w:jc w:val="center"/>
              <w:rPr>
                <w:rFonts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省级大学生校外实践教育基地</w:t>
            </w:r>
          </w:p>
          <w:p>
            <w:pPr>
              <w:widowControl/>
              <w:spacing w:line="240" w:lineRule="auto"/>
              <w:ind w:firstLine="0" w:firstLineChars="0"/>
              <w:jc w:val="center"/>
              <w:rPr>
                <w:rFonts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建设项目</w:t>
            </w:r>
          </w:p>
        </w:tc>
        <w:tc>
          <w:tcPr>
            <w:tcW w:w="445" w:type="pct"/>
            <w:tcBorders>
              <w:top w:val="single" w:color="auto" w:sz="4" w:space="0"/>
              <w:bottom w:val="single" w:color="auto" w:sz="4" w:space="0"/>
            </w:tcBorders>
            <w:vAlign w:val="center"/>
          </w:tcPr>
          <w:p>
            <w:pPr>
              <w:widowControl/>
              <w:spacing w:line="240" w:lineRule="auto"/>
              <w:ind w:firstLine="0" w:firstLineChars="0"/>
              <w:jc w:val="center"/>
              <w:rPr>
                <w:rFonts w:hint="default" w:cs="宋体" w:asciiTheme="minorEastAsia" w:hAnsiTheme="minorEastAsia" w:eastAsiaTheme="minorEastAsia"/>
                <w:color w:val="auto"/>
                <w:kern w:val="0"/>
                <w:sz w:val="21"/>
                <w:szCs w:val="21"/>
                <w:highlight w:val="none"/>
                <w:lang w:val="en-US" w:eastAsia="zh-CN"/>
              </w:rPr>
            </w:pPr>
            <w:r>
              <w:rPr>
                <w:rFonts w:hint="eastAsia" w:cs="宋体" w:asciiTheme="minorEastAsia" w:hAnsiTheme="minorEastAsia" w:eastAsiaTheme="minorEastAsia"/>
                <w:color w:val="auto"/>
                <w:kern w:val="0"/>
                <w:sz w:val="21"/>
                <w:szCs w:val="21"/>
                <w:highlight w:val="none"/>
                <w:lang w:val="en-US" w:eastAsia="zh-CN"/>
              </w:rPr>
              <w:t>11</w:t>
            </w:r>
          </w:p>
        </w:tc>
        <w:tc>
          <w:tcPr>
            <w:tcW w:w="2719" w:type="pct"/>
            <w:tcBorders>
              <w:top w:val="single" w:color="auto" w:sz="4" w:space="0"/>
              <w:bottom w:val="single" w:color="auto" w:sz="4" w:space="0"/>
            </w:tcBorders>
            <w:vAlign w:val="center"/>
          </w:tcPr>
          <w:p>
            <w:pPr>
              <w:widowControl/>
              <w:spacing w:line="240" w:lineRule="auto"/>
              <w:ind w:firstLine="0" w:firstLineChars="0"/>
              <w:jc w:val="left"/>
              <w:rPr>
                <w:rFonts w:cs="宋体" w:asciiTheme="minorEastAsia" w:hAnsiTheme="minorEastAsia" w:eastAsiaTheme="minorEastAsia"/>
                <w:color w:val="auto"/>
                <w:kern w:val="0"/>
                <w:sz w:val="21"/>
                <w:szCs w:val="21"/>
                <w:highlight w:val="none"/>
              </w:rPr>
            </w:pPr>
            <w:r>
              <w:rPr>
                <w:rFonts w:hint="eastAsia" w:cs="宋体" w:asciiTheme="minorEastAsia" w:hAnsiTheme="minorEastAsia" w:eastAsiaTheme="minorEastAsia"/>
                <w:color w:val="auto"/>
                <w:kern w:val="0"/>
                <w:sz w:val="21"/>
                <w:szCs w:val="21"/>
                <w:highlight w:val="none"/>
              </w:rPr>
              <w:t>（略）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834" w:type="pct"/>
            <w:tcBorders>
              <w:top w:val="single" w:color="auto" w:sz="4" w:space="0"/>
              <w:bottom w:val="single" w:color="auto" w:sz="4" w:space="0"/>
            </w:tcBorders>
            <w:vAlign w:val="center"/>
          </w:tcPr>
          <w:p>
            <w:pPr>
              <w:widowControl/>
              <w:spacing w:line="240" w:lineRule="auto"/>
              <w:ind w:firstLine="0" w:firstLineChars="0"/>
              <w:jc w:val="center"/>
              <w:rPr>
                <w:rFonts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省级人才培养模式创新实验区</w:t>
            </w:r>
          </w:p>
        </w:tc>
        <w:tc>
          <w:tcPr>
            <w:tcW w:w="445" w:type="pct"/>
            <w:tcBorders>
              <w:top w:val="single" w:color="auto" w:sz="4" w:space="0"/>
              <w:bottom w:val="single" w:color="auto" w:sz="4" w:space="0"/>
            </w:tcBorders>
            <w:vAlign w:val="center"/>
          </w:tcPr>
          <w:p>
            <w:pPr>
              <w:widowControl/>
              <w:spacing w:line="240" w:lineRule="auto"/>
              <w:ind w:firstLine="0" w:firstLineChars="0"/>
              <w:jc w:val="center"/>
              <w:rPr>
                <w:rFonts w:cs="宋体" w:asciiTheme="minorEastAsia" w:hAnsiTheme="minorEastAsia" w:eastAsiaTheme="minorEastAsia"/>
                <w:color w:val="auto"/>
                <w:kern w:val="0"/>
                <w:sz w:val="21"/>
                <w:szCs w:val="21"/>
                <w:highlight w:val="none"/>
              </w:rPr>
            </w:pPr>
            <w:r>
              <w:rPr>
                <w:rFonts w:hint="eastAsia" w:cs="宋体" w:asciiTheme="minorEastAsia" w:hAnsiTheme="minorEastAsia" w:eastAsiaTheme="minorEastAsia"/>
                <w:color w:val="auto"/>
                <w:kern w:val="0"/>
                <w:sz w:val="21"/>
                <w:szCs w:val="21"/>
                <w:highlight w:val="none"/>
              </w:rPr>
              <w:t>1</w:t>
            </w:r>
          </w:p>
        </w:tc>
        <w:tc>
          <w:tcPr>
            <w:tcW w:w="2719" w:type="pct"/>
            <w:tcBorders>
              <w:top w:val="single" w:color="auto" w:sz="4" w:space="0"/>
              <w:bottom w:val="single" w:color="auto" w:sz="4" w:space="0"/>
            </w:tcBorders>
            <w:vAlign w:val="center"/>
          </w:tcPr>
          <w:p>
            <w:pPr>
              <w:widowControl/>
              <w:spacing w:line="240" w:lineRule="auto"/>
              <w:ind w:firstLine="0" w:firstLineChars="0"/>
              <w:jc w:val="left"/>
              <w:rPr>
                <w:rFonts w:cs="宋体" w:asciiTheme="minorEastAsia" w:hAnsiTheme="minorEastAsia" w:eastAsiaTheme="minorEastAsia"/>
                <w:color w:val="auto"/>
                <w:kern w:val="0"/>
                <w:sz w:val="21"/>
                <w:szCs w:val="21"/>
                <w:highlight w:val="none"/>
              </w:rPr>
            </w:pPr>
            <w:r>
              <w:rPr>
                <w:rFonts w:hint="eastAsia" w:cs="宋体" w:asciiTheme="minorEastAsia" w:hAnsiTheme="minorEastAsia" w:eastAsiaTheme="minorEastAsia"/>
                <w:color w:val="auto"/>
                <w:kern w:val="0"/>
                <w:sz w:val="21"/>
                <w:szCs w:val="21"/>
                <w:highlight w:val="none"/>
              </w:rPr>
              <w:t>综合实践型小学教育人才培养创新实验区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834" w:type="pct"/>
            <w:tcBorders>
              <w:top w:val="single" w:color="auto" w:sz="4" w:space="0"/>
            </w:tcBorders>
            <w:vAlign w:val="center"/>
          </w:tcPr>
          <w:p>
            <w:pPr>
              <w:widowControl/>
              <w:spacing w:line="240" w:lineRule="auto"/>
              <w:ind w:firstLine="0" w:firstLineChars="0"/>
              <w:jc w:val="center"/>
              <w:rPr>
                <w:rFonts w:cs="宋体" w:asciiTheme="minorEastAsia" w:hAnsiTheme="minorEastAsia" w:eastAsiaTheme="minorEastAsia"/>
                <w:b/>
                <w:bCs/>
                <w:color w:val="auto"/>
                <w:kern w:val="0"/>
                <w:sz w:val="21"/>
                <w:szCs w:val="21"/>
                <w:highlight w:val="none"/>
              </w:rPr>
            </w:pPr>
            <w:r>
              <w:rPr>
                <w:rFonts w:hint="eastAsia" w:cs="宋体" w:asciiTheme="minorEastAsia" w:hAnsiTheme="minorEastAsia" w:eastAsiaTheme="minorEastAsia"/>
                <w:b/>
                <w:bCs/>
                <w:color w:val="auto"/>
                <w:kern w:val="0"/>
                <w:sz w:val="21"/>
                <w:szCs w:val="21"/>
                <w:highlight w:val="none"/>
              </w:rPr>
              <w:t>省首批应用型建设示范点</w:t>
            </w:r>
          </w:p>
        </w:tc>
        <w:tc>
          <w:tcPr>
            <w:tcW w:w="445" w:type="pct"/>
            <w:tcBorders>
              <w:top w:val="single" w:color="auto" w:sz="4" w:space="0"/>
            </w:tcBorders>
            <w:vAlign w:val="center"/>
          </w:tcPr>
          <w:p>
            <w:pPr>
              <w:widowControl/>
              <w:spacing w:line="240" w:lineRule="auto"/>
              <w:ind w:firstLine="0" w:firstLineChars="0"/>
              <w:jc w:val="center"/>
              <w:rPr>
                <w:rFonts w:cs="宋体" w:asciiTheme="minorEastAsia" w:hAnsiTheme="minorEastAsia" w:eastAsiaTheme="minorEastAsia"/>
                <w:color w:val="auto"/>
                <w:kern w:val="0"/>
                <w:sz w:val="21"/>
                <w:szCs w:val="21"/>
                <w:highlight w:val="none"/>
              </w:rPr>
            </w:pPr>
            <w:r>
              <w:rPr>
                <w:rFonts w:hint="eastAsia" w:cs="宋体" w:asciiTheme="minorEastAsia" w:hAnsiTheme="minorEastAsia" w:eastAsiaTheme="minorEastAsia"/>
                <w:color w:val="auto"/>
                <w:kern w:val="0"/>
                <w:sz w:val="21"/>
                <w:szCs w:val="21"/>
                <w:highlight w:val="none"/>
              </w:rPr>
              <w:t>7</w:t>
            </w:r>
          </w:p>
        </w:tc>
        <w:tc>
          <w:tcPr>
            <w:tcW w:w="2719" w:type="pct"/>
            <w:tcBorders>
              <w:top w:val="single" w:color="auto" w:sz="4" w:space="0"/>
            </w:tcBorders>
            <w:vAlign w:val="center"/>
          </w:tcPr>
          <w:p>
            <w:pPr>
              <w:widowControl/>
              <w:spacing w:line="240" w:lineRule="auto"/>
              <w:ind w:firstLine="0" w:firstLineChars="0"/>
              <w:jc w:val="left"/>
              <w:rPr>
                <w:rFonts w:cs="宋体" w:asciiTheme="minorEastAsia" w:hAnsiTheme="minorEastAsia" w:eastAsiaTheme="minorEastAsia"/>
                <w:color w:val="auto"/>
                <w:kern w:val="0"/>
                <w:sz w:val="21"/>
                <w:szCs w:val="21"/>
                <w:highlight w:val="none"/>
              </w:rPr>
            </w:pPr>
            <w:r>
              <w:rPr>
                <w:rFonts w:hint="eastAsia" w:cs="宋体" w:asciiTheme="minorEastAsia" w:hAnsiTheme="minorEastAsia" w:eastAsiaTheme="minorEastAsia"/>
                <w:color w:val="auto"/>
                <w:kern w:val="0"/>
                <w:sz w:val="21"/>
                <w:szCs w:val="21"/>
                <w:highlight w:val="none"/>
              </w:rPr>
              <w:t>阿里巴巴商学院、国际服务工程学院2个创新创业学院以及电子商务、信息技术、经济管理、应用化学、文化创意等5个专业群</w:t>
            </w:r>
          </w:p>
        </w:tc>
      </w:tr>
    </w:tbl>
    <w:p>
      <w:pPr>
        <w:pStyle w:val="2"/>
        <w:numPr>
          <w:ilvl w:val="0"/>
          <w:numId w:val="0"/>
        </w:numPr>
        <w:rPr>
          <w:color w:val="auto"/>
        </w:rPr>
      </w:pPr>
      <w:bookmarkStart w:id="197" w:name="_Toc4871"/>
      <w:bookmarkStart w:id="198" w:name="_Toc88219340"/>
      <w:bookmarkStart w:id="199" w:name="_Toc26284"/>
      <w:bookmarkStart w:id="200" w:name="_Toc89702821"/>
      <w:bookmarkStart w:id="201" w:name="_Toc13263"/>
      <w:bookmarkStart w:id="202" w:name="_Toc88218442"/>
      <w:r>
        <w:rPr>
          <w:rFonts w:hint="eastAsia"/>
          <w:color w:val="auto"/>
          <w:lang w:val="en-US" w:eastAsia="zh-CN"/>
        </w:rPr>
        <w:t>四、</w:t>
      </w:r>
      <w:r>
        <w:rPr>
          <w:rFonts w:hint="eastAsia"/>
          <w:color w:val="auto"/>
        </w:rPr>
        <w:t>质量监控与保障</w:t>
      </w:r>
      <w:bookmarkEnd w:id="197"/>
      <w:bookmarkEnd w:id="198"/>
      <w:bookmarkEnd w:id="199"/>
      <w:bookmarkEnd w:id="200"/>
      <w:bookmarkEnd w:id="201"/>
      <w:bookmarkEnd w:id="202"/>
    </w:p>
    <w:p>
      <w:pPr>
        <w:pStyle w:val="3"/>
        <w:spacing w:before="156" w:after="156"/>
        <w:rPr>
          <w:rFonts w:ascii="黑体" w:hAnsi="黑体" w:eastAsia="黑体"/>
          <w:color w:val="auto"/>
          <w:sz w:val="28"/>
        </w:rPr>
      </w:pPr>
      <w:bookmarkStart w:id="203" w:name="_Toc88219341"/>
      <w:bookmarkStart w:id="204" w:name="_Toc20302"/>
      <w:bookmarkStart w:id="205" w:name="_Toc89702822"/>
      <w:bookmarkStart w:id="206" w:name="_Toc88218443"/>
      <w:bookmarkStart w:id="207" w:name="_Toc19033"/>
      <w:bookmarkStart w:id="208" w:name="_Toc30300"/>
      <w:r>
        <w:rPr>
          <w:rFonts w:hint="eastAsia" w:ascii="黑体" w:hAnsi="黑体" w:eastAsia="黑体"/>
          <w:color w:val="auto"/>
          <w:sz w:val="28"/>
          <w:lang w:eastAsia="zh-CN"/>
        </w:rPr>
        <w:t>（</w:t>
      </w:r>
      <w:r>
        <w:rPr>
          <w:rFonts w:hint="eastAsia" w:ascii="黑体" w:hAnsi="黑体" w:eastAsia="黑体"/>
          <w:color w:val="auto"/>
          <w:sz w:val="28"/>
          <w:lang w:val="en-US" w:eastAsia="zh-CN"/>
        </w:rPr>
        <w:t>一</w:t>
      </w:r>
      <w:r>
        <w:rPr>
          <w:rFonts w:hint="eastAsia" w:ascii="黑体" w:hAnsi="黑体" w:eastAsia="黑体"/>
          <w:color w:val="auto"/>
          <w:sz w:val="28"/>
          <w:lang w:eastAsia="zh-CN"/>
        </w:rPr>
        <w:t>）</w:t>
      </w:r>
      <w:r>
        <w:rPr>
          <w:rFonts w:hint="eastAsia" w:ascii="黑体" w:hAnsi="黑体" w:eastAsia="黑体"/>
          <w:color w:val="auto"/>
          <w:sz w:val="28"/>
        </w:rPr>
        <w:t>强化教学工作中心地位</w:t>
      </w:r>
      <w:bookmarkEnd w:id="203"/>
      <w:bookmarkEnd w:id="204"/>
      <w:bookmarkEnd w:id="205"/>
      <w:bookmarkEnd w:id="206"/>
      <w:bookmarkEnd w:id="207"/>
      <w:bookmarkEnd w:id="208"/>
    </w:p>
    <w:p>
      <w:pPr>
        <w:ind w:firstLine="480"/>
        <w:rPr>
          <w:rFonts w:ascii="宋体" w:hAnsi="宋体" w:cs="宋体"/>
          <w:color w:val="auto"/>
        </w:rPr>
      </w:pPr>
      <w:r>
        <w:rPr>
          <w:rFonts w:hint="eastAsia" w:ascii="宋体" w:hAnsi="宋体" w:cs="宋体"/>
          <w:color w:val="auto"/>
        </w:rPr>
        <w:t>强化人才培养中心地位。学校围绕打造一流本科教育的目标，全面落实《杭州师范大学关于全面推进高水平本科教育的实施意见》等5个系列文件，在资源配置、经费支持、政策激励等方面加大对教学工作的倾斜，强化人才培养中心地位和本科教学基础地位。学校党政一把手亲自抓本科教育，党委会和校长办公会议定期研究教学工作，校领导严格执行联系学院制度，带头落实本科教学听课制度、期初和期中教学检查制度、期末巡考制度，实习巡查制度。学校加强各部门全面服务教学的协同工作，以教学为中心构建大教学工作保障机制，营造浓厚良好的育人氛围。</w:t>
      </w:r>
    </w:p>
    <w:p>
      <w:pPr>
        <w:ind w:firstLine="480"/>
        <w:rPr>
          <w:rFonts w:ascii="宋体" w:hAnsi="宋体" w:cs="宋体"/>
          <w:color w:val="auto"/>
        </w:rPr>
      </w:pPr>
      <w:r>
        <w:rPr>
          <w:rFonts w:hint="eastAsia" w:ascii="宋体" w:hAnsi="宋体" w:cs="宋体"/>
          <w:color w:val="auto"/>
        </w:rPr>
        <w:t>完善教学激励机制。学校落实《杭州师范大学本科教学工作奖励办法（试行）》，设立专项经费对教学成果类、教学研究类、专业建设类、课程建设类、教材建设类、实践基地建设类、教学改革类、教学质量类、教师队伍建设类、教师教学能力类等十一个类别进行奖励，激励教师全身心投入教学；在教师专业技术职务评聘、业绩考核和津贴分配中把教学质量放在首要地位，设置教学为主型教师高级专业技术职务。在学院年度绩效考评方案中，注重教学工作的权重设置，实行“优课优酬”，对校级以上各类“金课”、核心通识课程等优质课程，通过教学工作量核算时增加系数，享受优酬。</w:t>
      </w:r>
    </w:p>
    <w:p>
      <w:pPr>
        <w:pStyle w:val="3"/>
        <w:spacing w:before="156" w:after="156"/>
        <w:rPr>
          <w:rFonts w:ascii="黑体" w:hAnsi="黑体" w:eastAsia="黑体"/>
          <w:color w:val="auto"/>
          <w:sz w:val="28"/>
        </w:rPr>
      </w:pPr>
      <w:bookmarkStart w:id="209" w:name="_Toc7144"/>
      <w:bookmarkStart w:id="210" w:name="_Toc88218444"/>
      <w:bookmarkStart w:id="211" w:name="_Toc89702823"/>
      <w:bookmarkStart w:id="212" w:name="_Toc18135"/>
      <w:bookmarkStart w:id="213" w:name="_Toc2085"/>
      <w:bookmarkStart w:id="214" w:name="_Toc88219342"/>
      <w:r>
        <w:rPr>
          <w:rFonts w:hint="eastAsia" w:ascii="黑体" w:hAnsi="黑体" w:eastAsia="黑体"/>
          <w:color w:val="auto"/>
          <w:sz w:val="28"/>
          <w:lang w:eastAsia="zh-CN"/>
        </w:rPr>
        <w:t>（</w:t>
      </w:r>
      <w:r>
        <w:rPr>
          <w:rFonts w:hint="eastAsia" w:ascii="黑体" w:hAnsi="黑体" w:eastAsia="黑体"/>
          <w:color w:val="auto"/>
          <w:sz w:val="28"/>
          <w:lang w:val="en-US" w:eastAsia="zh-CN"/>
        </w:rPr>
        <w:t>二</w:t>
      </w:r>
      <w:r>
        <w:rPr>
          <w:rFonts w:hint="eastAsia" w:ascii="黑体" w:hAnsi="黑体" w:eastAsia="黑体"/>
          <w:color w:val="auto"/>
          <w:sz w:val="28"/>
          <w:lang w:eastAsia="zh-CN"/>
        </w:rPr>
        <w:t>）</w:t>
      </w:r>
      <w:r>
        <w:rPr>
          <w:rFonts w:hint="eastAsia" w:ascii="黑体" w:hAnsi="黑体" w:eastAsia="黑体"/>
          <w:color w:val="auto"/>
          <w:sz w:val="28"/>
        </w:rPr>
        <w:t>加强教学质量过程管理与监控</w:t>
      </w:r>
      <w:bookmarkEnd w:id="209"/>
      <w:bookmarkEnd w:id="210"/>
      <w:bookmarkEnd w:id="211"/>
      <w:bookmarkEnd w:id="212"/>
      <w:bookmarkEnd w:id="213"/>
      <w:bookmarkEnd w:id="214"/>
    </w:p>
    <w:p>
      <w:pPr>
        <w:ind w:firstLine="480"/>
        <w:rPr>
          <w:rFonts w:ascii="宋体" w:hAnsi="宋体" w:cs="宋体"/>
          <w:color w:val="auto"/>
          <w:highlight w:val="none"/>
        </w:rPr>
      </w:pPr>
      <w:r>
        <w:rPr>
          <w:rFonts w:hint="eastAsia" w:ascii="宋体" w:hAnsi="宋体" w:cs="宋体"/>
          <w:color w:val="auto"/>
        </w:rPr>
        <w:t>完善教学质量监控组织系统。教务处新增原教学评估和教师教学发展中心职能，负责本科教学基本状态数据监测、本科课堂教学质量评价、本科教学质量报告编制及专业评估和专业认证等工作；进一步加强教学督导委员会建设，着力构建多维、多层次、高效率的本科教学质量监控组织体系。学校构建了“二级四维”组织运行模式，即校院二级教学质量保障组织运行机制和“决策指挥—教学管理—质量监控—资源保障”四维组织运行系统。教务处依据专业、课程和教学过程等教学质量标准，规范和管理教学活动各环节。校院二级教学督导通过课堂听课、试卷论文检查、期末考风检查、教改课程专项督查、教学问题诊断等专项工作，对全校本科教学进行全方位动态监督</w:t>
      </w:r>
      <w:r>
        <w:rPr>
          <w:rFonts w:hint="eastAsia" w:ascii="宋体" w:hAnsi="宋体" w:cs="宋体"/>
          <w:color w:val="auto"/>
          <w:highlight w:val="none"/>
        </w:rPr>
        <w:t>。</w:t>
      </w:r>
      <w:r>
        <w:rPr>
          <w:rFonts w:ascii="宋体" w:hAnsi="宋体" w:cs="宋体"/>
          <w:color w:val="auto"/>
          <w:highlight w:val="none"/>
        </w:rPr>
        <w:t>202</w:t>
      </w:r>
      <w:r>
        <w:rPr>
          <w:rFonts w:hint="eastAsia" w:ascii="宋体" w:hAnsi="宋体" w:cs="宋体"/>
          <w:color w:val="auto"/>
          <w:highlight w:val="none"/>
          <w:lang w:val="en-US" w:eastAsia="zh-CN"/>
        </w:rPr>
        <w:t>2</w:t>
      </w:r>
      <w:r>
        <w:rPr>
          <w:rFonts w:ascii="宋体" w:hAnsi="宋体" w:cs="宋体"/>
          <w:color w:val="auto"/>
          <w:highlight w:val="none"/>
        </w:rPr>
        <w:t>-202</w:t>
      </w:r>
      <w:r>
        <w:rPr>
          <w:rFonts w:hint="eastAsia" w:ascii="宋体" w:hAnsi="宋体" w:cs="宋体"/>
          <w:color w:val="auto"/>
          <w:highlight w:val="none"/>
          <w:lang w:val="en-US" w:eastAsia="zh-CN"/>
        </w:rPr>
        <w:t>3</w:t>
      </w:r>
      <w:r>
        <w:rPr>
          <w:rFonts w:ascii="宋体" w:hAnsi="宋体" w:cs="宋体"/>
          <w:color w:val="auto"/>
          <w:highlight w:val="none"/>
        </w:rPr>
        <w:t>学年教学督导共听课</w:t>
      </w:r>
      <w:r>
        <w:rPr>
          <w:rFonts w:hint="eastAsia" w:ascii="宋体" w:hAnsi="宋体" w:cs="宋体"/>
          <w:color w:val="auto"/>
          <w:highlight w:val="none"/>
          <w:lang w:val="en-US" w:eastAsia="zh-CN"/>
        </w:rPr>
        <w:t>3405</w:t>
      </w:r>
      <w:r>
        <w:rPr>
          <w:rFonts w:ascii="宋体" w:hAnsi="宋体" w:cs="宋体"/>
          <w:color w:val="auto"/>
          <w:highlight w:val="none"/>
        </w:rPr>
        <w:t>节；组织试卷检查，抽查试卷</w:t>
      </w:r>
      <w:r>
        <w:rPr>
          <w:rFonts w:hint="eastAsia" w:ascii="宋体" w:hAnsi="宋体" w:cs="宋体"/>
          <w:color w:val="auto"/>
          <w:highlight w:val="none"/>
        </w:rPr>
        <w:t>1</w:t>
      </w:r>
      <w:r>
        <w:rPr>
          <w:rFonts w:hint="eastAsia" w:ascii="宋体" w:hAnsi="宋体" w:cs="宋体"/>
          <w:color w:val="auto"/>
          <w:highlight w:val="none"/>
          <w:lang w:val="en-US" w:eastAsia="zh-CN"/>
        </w:rPr>
        <w:t>138</w:t>
      </w:r>
      <w:r>
        <w:rPr>
          <w:rFonts w:ascii="宋体" w:hAnsi="宋体" w:cs="宋体"/>
          <w:color w:val="auto"/>
          <w:highlight w:val="none"/>
        </w:rPr>
        <w:t>册，涉及课程</w:t>
      </w:r>
      <w:r>
        <w:rPr>
          <w:rFonts w:hint="eastAsia" w:ascii="宋体" w:hAnsi="宋体" w:cs="宋体"/>
          <w:color w:val="auto"/>
          <w:highlight w:val="none"/>
        </w:rPr>
        <w:t>1</w:t>
      </w:r>
      <w:r>
        <w:rPr>
          <w:rFonts w:hint="eastAsia" w:ascii="宋体" w:hAnsi="宋体" w:cs="宋体"/>
          <w:color w:val="auto"/>
          <w:highlight w:val="none"/>
          <w:lang w:val="en-US" w:eastAsia="zh-CN"/>
        </w:rPr>
        <w:t>06</w:t>
      </w:r>
      <w:r>
        <w:rPr>
          <w:rFonts w:hint="eastAsia" w:ascii="宋体" w:hAnsi="宋体" w:cs="宋体"/>
          <w:color w:val="auto"/>
          <w:highlight w:val="none"/>
        </w:rPr>
        <w:t>6</w:t>
      </w:r>
      <w:r>
        <w:rPr>
          <w:rFonts w:ascii="宋体" w:hAnsi="宋体" w:cs="宋体"/>
          <w:color w:val="auto"/>
          <w:highlight w:val="none"/>
        </w:rPr>
        <w:t>门，抽查试卷</w:t>
      </w:r>
      <w:r>
        <w:rPr>
          <w:rFonts w:hint="eastAsia" w:ascii="宋体" w:hAnsi="宋体" w:cs="宋体"/>
          <w:color w:val="auto"/>
          <w:highlight w:val="none"/>
          <w:lang w:val="en-US" w:eastAsia="zh-CN"/>
        </w:rPr>
        <w:t>53</w:t>
      </w:r>
      <w:r>
        <w:rPr>
          <w:rFonts w:hint="eastAsia" w:ascii="宋体" w:hAnsi="宋体" w:cs="宋体"/>
          <w:color w:val="auto"/>
          <w:highlight w:val="none"/>
        </w:rPr>
        <w:t>000</w:t>
      </w:r>
      <w:r>
        <w:rPr>
          <w:rFonts w:ascii="宋体" w:hAnsi="宋体" w:cs="宋体"/>
          <w:color w:val="auto"/>
          <w:highlight w:val="none"/>
        </w:rPr>
        <w:t>余份；开展期末考试</w:t>
      </w:r>
      <w:r>
        <w:rPr>
          <w:rFonts w:hint="eastAsia" w:ascii="宋体" w:hAnsi="宋体" w:cs="宋体"/>
          <w:color w:val="auto"/>
          <w:highlight w:val="none"/>
          <w:lang w:eastAsia="zh-CN"/>
        </w:rPr>
        <w:t>（</w:t>
      </w:r>
      <w:r>
        <w:rPr>
          <w:rFonts w:hint="eastAsia" w:ascii="宋体" w:hAnsi="宋体" w:cs="宋体"/>
          <w:color w:val="auto"/>
          <w:highlight w:val="none"/>
          <w:lang w:val="en-US" w:eastAsia="zh-CN"/>
        </w:rPr>
        <w:t>含补缓考</w:t>
      </w:r>
      <w:r>
        <w:rPr>
          <w:rFonts w:hint="eastAsia" w:ascii="宋体" w:hAnsi="宋体" w:cs="宋体"/>
          <w:color w:val="auto"/>
          <w:highlight w:val="none"/>
          <w:lang w:eastAsia="zh-CN"/>
        </w:rPr>
        <w:t>）</w:t>
      </w:r>
      <w:r>
        <w:rPr>
          <w:rFonts w:ascii="宋体" w:hAnsi="宋体" w:cs="宋体"/>
          <w:color w:val="auto"/>
          <w:highlight w:val="none"/>
        </w:rPr>
        <w:t>巡考</w:t>
      </w:r>
      <w:r>
        <w:rPr>
          <w:rFonts w:hint="eastAsia" w:ascii="宋体" w:hAnsi="宋体" w:cs="宋体"/>
          <w:color w:val="auto"/>
          <w:highlight w:val="none"/>
          <w:lang w:val="en-US" w:eastAsia="zh-CN"/>
        </w:rPr>
        <w:t>3</w:t>
      </w:r>
      <w:r>
        <w:rPr>
          <w:rFonts w:ascii="宋体" w:hAnsi="宋体" w:cs="宋体"/>
          <w:color w:val="auto"/>
          <w:highlight w:val="none"/>
        </w:rPr>
        <w:t>次。</w:t>
      </w:r>
    </w:p>
    <w:p>
      <w:pPr>
        <w:ind w:firstLine="480"/>
        <w:rPr>
          <w:rFonts w:ascii="宋体" w:hAnsi="宋体" w:cs="宋体"/>
          <w:color w:val="auto"/>
        </w:rPr>
      </w:pPr>
      <w:r>
        <w:rPr>
          <w:rFonts w:hint="eastAsia" w:ascii="宋体" w:hAnsi="宋体" w:cs="宋体"/>
          <w:color w:val="auto"/>
        </w:rPr>
        <w:t>开展教学常规检查。学校坚持开展期初、期中、期末三个阶段的常规教学检查，校院两级督导、学院班子成员和基层教学组织负责人等通过随机课堂听课、教学检查、组织座谈等方式，深入了解教师教学情况和学生学习情况，及时提供指导和改进建议。每学期开展“教学质量月”活动并形成制度化和常态化，促进全校“重视教学、服务教学、保障教学”良好氛围的形成</w:t>
      </w:r>
      <w:r>
        <w:rPr>
          <w:rFonts w:hint="eastAsia" w:ascii="宋体" w:hAnsi="宋体" w:cs="宋体"/>
          <w:color w:val="auto"/>
          <w:lang w:eastAsia="zh-CN"/>
        </w:rPr>
        <w:t>。</w:t>
      </w:r>
      <w:r>
        <w:rPr>
          <w:rFonts w:ascii="宋体" w:hAnsi="宋体" w:eastAsia="宋体" w:cs="宋体"/>
          <w:color w:val="auto"/>
          <w:sz w:val="24"/>
          <w:szCs w:val="24"/>
        </w:rPr>
        <w:t>2022-2023学年，共推出教学观摩课382节、课堂教学改革项目展示285节，教学研讨活动279次，实践教学活动175次，职能部门领导和学院班子检查听课1834节。</w:t>
      </w:r>
    </w:p>
    <w:p>
      <w:pPr>
        <w:ind w:firstLine="480"/>
        <w:rPr>
          <w:rFonts w:ascii="宋体" w:hAnsi="宋体" w:cs="宋体"/>
          <w:color w:val="auto"/>
        </w:rPr>
      </w:pPr>
      <w:r>
        <w:rPr>
          <w:rFonts w:hint="eastAsia" w:ascii="宋体" w:hAnsi="宋体" w:cs="宋体"/>
          <w:color w:val="auto"/>
        </w:rPr>
        <w:t>强化实践教学质量监控。学校严格执行《师范生教育实习管理办法及规程》《医学专业实习管理办法》、《毕业实习管理办法》等文件，落实实习见习质量标准，建立教育实习巡查机制，实现质量监控规范化和常态化；面向所有实习学生开展毕业实习满意度调查，对实习管理、指导教师指导、实习单位反馈等方面进行监控，调查覆盖率达100%；加强对毕业设计（论文）的质量监控，强化学院质量监控主体责任，在论文开题、查重、外审、答辩等环节进行全方位管理和监控；组织教学督导和教学管理人员对所有专业毕业设计（论文）质量和管理的规范性进行专项检查，及时发现问题，反馈检查结果，并督促学院进行整改。</w:t>
      </w:r>
    </w:p>
    <w:p>
      <w:pPr>
        <w:pStyle w:val="3"/>
        <w:spacing w:before="156" w:after="156"/>
        <w:rPr>
          <w:rFonts w:ascii="黑体" w:hAnsi="黑体" w:eastAsia="黑体"/>
          <w:color w:val="auto"/>
          <w:sz w:val="28"/>
        </w:rPr>
      </w:pPr>
      <w:bookmarkStart w:id="215" w:name="_Toc89702824"/>
      <w:bookmarkStart w:id="216" w:name="_Toc88219343"/>
      <w:bookmarkStart w:id="217" w:name="_Toc6389"/>
      <w:bookmarkStart w:id="218" w:name="_Toc32269"/>
      <w:bookmarkStart w:id="219" w:name="_Toc7399"/>
      <w:bookmarkStart w:id="220" w:name="_Toc88218445"/>
      <w:r>
        <w:rPr>
          <w:rFonts w:hint="eastAsia" w:ascii="黑体" w:hAnsi="黑体" w:eastAsia="黑体"/>
          <w:color w:val="auto"/>
          <w:sz w:val="28"/>
          <w:lang w:eastAsia="zh-CN"/>
        </w:rPr>
        <w:t>（</w:t>
      </w:r>
      <w:r>
        <w:rPr>
          <w:rFonts w:hint="eastAsia" w:ascii="黑体" w:hAnsi="黑体" w:eastAsia="黑体"/>
          <w:color w:val="auto"/>
          <w:sz w:val="28"/>
          <w:lang w:val="en-US" w:eastAsia="zh-CN"/>
        </w:rPr>
        <w:t>三</w:t>
      </w:r>
      <w:r>
        <w:rPr>
          <w:rFonts w:hint="eastAsia" w:ascii="黑体" w:hAnsi="黑体" w:eastAsia="黑体"/>
          <w:color w:val="auto"/>
          <w:sz w:val="28"/>
          <w:lang w:eastAsia="zh-CN"/>
        </w:rPr>
        <w:t>）</w:t>
      </w:r>
      <w:r>
        <w:rPr>
          <w:rFonts w:hint="eastAsia" w:ascii="黑体" w:hAnsi="黑体" w:eastAsia="黑体"/>
          <w:color w:val="auto"/>
          <w:sz w:val="28"/>
        </w:rPr>
        <w:t>组织开展教学专项考核</w:t>
      </w:r>
      <w:bookmarkEnd w:id="215"/>
      <w:bookmarkEnd w:id="216"/>
      <w:bookmarkEnd w:id="217"/>
      <w:bookmarkEnd w:id="218"/>
      <w:bookmarkEnd w:id="219"/>
      <w:bookmarkEnd w:id="220"/>
    </w:p>
    <w:p>
      <w:pPr>
        <w:ind w:firstLine="480"/>
        <w:rPr>
          <w:rFonts w:ascii="宋体" w:hAnsi="宋体" w:cs="宋体"/>
          <w:color w:val="auto"/>
        </w:rPr>
      </w:pPr>
      <w:r>
        <w:rPr>
          <w:rFonts w:hint="eastAsia" w:ascii="宋体" w:hAnsi="宋体" w:cs="宋体"/>
          <w:color w:val="auto"/>
        </w:rPr>
        <w:t>开展学院教学工作综合考核。学校每年度对学院重点领域工作进行绩效考评，《学院教学绩效考核指标体系》包括生源质量、教学运行、教学建设与改革、创新创业教育、实践教学、质量监控、人才培养质量与开放办学等方面，考评结果作为对学院政策支持、经费划拨、绩效工资分配的重要依据，促进学院重视本科教学工作，不断提高教育教学质量。</w:t>
      </w:r>
    </w:p>
    <w:p>
      <w:pPr>
        <w:ind w:firstLine="480"/>
        <w:rPr>
          <w:rFonts w:ascii="宋体" w:hAnsi="宋体" w:cs="宋体"/>
          <w:color w:val="auto"/>
        </w:rPr>
      </w:pPr>
      <w:r>
        <w:rPr>
          <w:rFonts w:hint="eastAsia" w:ascii="宋体" w:hAnsi="宋体" w:cs="宋体"/>
          <w:color w:val="auto"/>
        </w:rPr>
        <w:t>开展教师本科教学工作业绩考核。学校每学年对教师进行本科教学工作业绩考核与评估，考核内容主要包括教学效果（学评课）、教学建设与研究、教学工作量等三部分。考核等级分为优秀、合格和不合格，其中优秀比例不得超过参加考核教师数的20%。考核结果作为教师评奖、评优、聘岗、晋升、职称评定的重要依据。通过对教师本科教学工作进行考核与评估，调动广大教师投入教育教学的积极性。</w:t>
      </w:r>
    </w:p>
    <w:p>
      <w:pPr>
        <w:pStyle w:val="3"/>
        <w:spacing w:before="156" w:after="156"/>
        <w:rPr>
          <w:rFonts w:ascii="黑体" w:hAnsi="黑体" w:eastAsia="黑体"/>
          <w:color w:val="auto"/>
          <w:sz w:val="28"/>
        </w:rPr>
      </w:pPr>
      <w:bookmarkStart w:id="221" w:name="_Toc88218446"/>
      <w:bookmarkStart w:id="222" w:name="_Toc89702825"/>
      <w:bookmarkStart w:id="223" w:name="_Toc88219344"/>
      <w:bookmarkStart w:id="224" w:name="_Toc22866"/>
      <w:bookmarkStart w:id="225" w:name="_Toc20827"/>
      <w:bookmarkStart w:id="226" w:name="_Toc16061"/>
      <w:r>
        <w:rPr>
          <w:rFonts w:hint="eastAsia" w:ascii="黑体" w:hAnsi="黑体" w:eastAsia="黑体"/>
          <w:color w:val="auto"/>
          <w:sz w:val="28"/>
          <w:lang w:eastAsia="zh-CN"/>
        </w:rPr>
        <w:t>（</w:t>
      </w:r>
      <w:r>
        <w:rPr>
          <w:rFonts w:hint="eastAsia" w:ascii="黑体" w:hAnsi="黑体" w:eastAsia="黑体"/>
          <w:color w:val="auto"/>
          <w:sz w:val="28"/>
          <w:lang w:val="en-US" w:eastAsia="zh-CN"/>
        </w:rPr>
        <w:t>四</w:t>
      </w:r>
      <w:r>
        <w:rPr>
          <w:rFonts w:hint="eastAsia" w:ascii="黑体" w:hAnsi="黑体" w:eastAsia="黑体"/>
          <w:color w:val="auto"/>
          <w:sz w:val="28"/>
          <w:lang w:eastAsia="zh-CN"/>
        </w:rPr>
        <w:t>）</w:t>
      </w:r>
      <w:r>
        <w:rPr>
          <w:rFonts w:hint="eastAsia" w:ascii="黑体" w:hAnsi="黑体" w:eastAsia="黑体"/>
          <w:color w:val="auto"/>
          <w:sz w:val="28"/>
        </w:rPr>
        <w:t>加强学生学业指导与管理</w:t>
      </w:r>
      <w:bookmarkEnd w:id="221"/>
      <w:bookmarkEnd w:id="222"/>
      <w:bookmarkEnd w:id="223"/>
      <w:bookmarkEnd w:id="224"/>
      <w:bookmarkEnd w:id="225"/>
      <w:bookmarkEnd w:id="226"/>
    </w:p>
    <w:p>
      <w:pPr>
        <w:ind w:firstLine="480"/>
        <w:rPr>
          <w:rFonts w:ascii="宋体" w:hAnsi="宋体" w:cs="宋体"/>
          <w:color w:val="auto"/>
        </w:rPr>
      </w:pPr>
      <w:r>
        <w:rPr>
          <w:rFonts w:hint="eastAsia" w:ascii="宋体" w:hAnsi="宋体" w:cs="宋体"/>
          <w:color w:val="auto"/>
        </w:rPr>
        <w:t>协同推进学风建设。学校立足学生卓越意识培养，以加强学风建设为统领，营造“乐学、好学、笃学”的学习氛围，多措并举激发学生学习内动力。建立健全由教务处、学生处、团委等部门构建的学风建设组织协调机制，坚持常态化巡查制度，每学期全面开展学风督查，完善专项检查与通报发布制度；结合《关于实施本科生综合导师制的通知》要求，成立辅导员宣讲团，进一步整合专业教师和辅导员队伍力量，通过指导学生参加学科竞赛、发表学术论文、申请科研立项等，培养学生创新能力；落实学生晚自修制度，建设学风督查长效机制；积极探索诚信考试，五个学院实现考试课程诚信考场全覆盖；加强朋辈教育，开展经亨颐奖学金、十佳大学生等公开评选活动，开展“成长会客厅”、学业经验分享会、励志沙龙等系列活动，引导学生与“优秀”为伍、向“优秀”看齐。</w:t>
      </w:r>
    </w:p>
    <w:p>
      <w:pPr>
        <w:ind w:firstLine="480"/>
        <w:rPr>
          <w:rFonts w:ascii="宋体" w:hAnsi="宋体" w:cs="宋体"/>
          <w:color w:val="auto"/>
        </w:rPr>
      </w:pPr>
      <w:r>
        <w:rPr>
          <w:rFonts w:hint="eastAsia" w:ascii="宋体" w:hAnsi="宋体" w:cs="宋体"/>
          <w:color w:val="auto"/>
        </w:rPr>
        <w:t>深化学业评价方式改革。完善过程性考核与结果性考核有机结合的学业考评制度，加强课堂参与和课堂纪律考查，引导学生树立良好学风。通过实施课程形成性评价教改项目，将学生日常学习评价的比重增至50%以上；引入中国“知网”系统，对本科生课程论文、毕业论文均进行重复率检测。</w:t>
      </w:r>
    </w:p>
    <w:p>
      <w:pPr>
        <w:ind w:firstLine="480"/>
        <w:rPr>
          <w:rFonts w:ascii="宋体" w:hAnsi="宋体" w:cs="宋体"/>
          <w:color w:val="auto"/>
          <w:highlight w:val="none"/>
        </w:rPr>
      </w:pPr>
      <w:r>
        <w:rPr>
          <w:rFonts w:hint="eastAsia" w:ascii="宋体" w:hAnsi="宋体" w:cs="宋体"/>
          <w:color w:val="auto"/>
        </w:rPr>
        <w:t>严格学籍管理和对学生学业的监控。指导各学院做好学生学业警诫、学位警诫、学位课程警诫以及毕业预审核工作，建立学生自查、学院审查、学校复查的工作机制，为学生顺利完成学业提供保障。</w:t>
      </w:r>
      <w:r>
        <w:rPr>
          <w:rFonts w:ascii="宋体" w:hAnsi="宋体" w:cs="宋体"/>
          <w:color w:val="auto"/>
          <w:highlight w:val="none"/>
        </w:rPr>
        <w:t>202</w:t>
      </w:r>
      <w:r>
        <w:rPr>
          <w:rFonts w:hint="eastAsia" w:ascii="宋体" w:hAnsi="宋体" w:cs="宋体"/>
          <w:color w:val="auto"/>
          <w:highlight w:val="none"/>
          <w:lang w:val="en-US" w:eastAsia="zh-CN"/>
        </w:rPr>
        <w:t>2</w:t>
      </w:r>
      <w:r>
        <w:rPr>
          <w:rFonts w:ascii="宋体" w:hAnsi="宋体" w:cs="宋体"/>
          <w:color w:val="auto"/>
          <w:highlight w:val="none"/>
        </w:rPr>
        <w:t>-202</w:t>
      </w:r>
      <w:r>
        <w:rPr>
          <w:rFonts w:hint="eastAsia" w:ascii="宋体" w:hAnsi="宋体" w:cs="宋体"/>
          <w:color w:val="auto"/>
          <w:highlight w:val="none"/>
          <w:lang w:val="en-US" w:eastAsia="zh-CN"/>
        </w:rPr>
        <w:t>3</w:t>
      </w:r>
      <w:r>
        <w:rPr>
          <w:rFonts w:ascii="宋体" w:hAnsi="宋体" w:cs="宋体"/>
          <w:color w:val="auto"/>
          <w:highlight w:val="none"/>
        </w:rPr>
        <w:t>学年开展学业警诫</w:t>
      </w:r>
      <w:r>
        <w:rPr>
          <w:rFonts w:hint="eastAsia" w:ascii="宋体" w:hAnsi="宋体" w:cs="宋体"/>
          <w:color w:val="auto"/>
          <w:highlight w:val="none"/>
          <w:lang w:val="en-US" w:eastAsia="zh-CN"/>
        </w:rPr>
        <w:t>200</w:t>
      </w:r>
      <w:r>
        <w:rPr>
          <w:rFonts w:ascii="宋体" w:hAnsi="宋体" w:cs="宋体"/>
          <w:color w:val="auto"/>
          <w:highlight w:val="none"/>
        </w:rPr>
        <w:t>人次。</w:t>
      </w:r>
    </w:p>
    <w:p>
      <w:pPr>
        <w:pStyle w:val="3"/>
        <w:spacing w:before="156" w:after="156"/>
        <w:rPr>
          <w:rFonts w:ascii="黑体" w:hAnsi="黑体" w:eastAsia="黑体"/>
          <w:color w:val="auto"/>
          <w:sz w:val="28"/>
          <w:highlight w:val="none"/>
        </w:rPr>
      </w:pPr>
      <w:bookmarkStart w:id="227" w:name="_Toc88219345"/>
      <w:bookmarkStart w:id="228" w:name="_Toc17546"/>
      <w:bookmarkStart w:id="229" w:name="_Toc28567"/>
      <w:bookmarkStart w:id="230" w:name="_Toc89702826"/>
      <w:bookmarkStart w:id="231" w:name="_Toc88218447"/>
      <w:bookmarkStart w:id="232" w:name="_Toc19044"/>
      <w:r>
        <w:rPr>
          <w:rFonts w:hint="eastAsia" w:ascii="黑体" w:hAnsi="黑体" w:eastAsia="黑体"/>
          <w:color w:val="auto"/>
          <w:sz w:val="28"/>
          <w:highlight w:val="none"/>
          <w:lang w:eastAsia="zh-CN"/>
        </w:rPr>
        <w:t>（</w:t>
      </w:r>
      <w:r>
        <w:rPr>
          <w:rFonts w:hint="eastAsia" w:ascii="黑体" w:hAnsi="黑体" w:eastAsia="黑体"/>
          <w:color w:val="auto"/>
          <w:sz w:val="28"/>
          <w:highlight w:val="none"/>
          <w:lang w:val="en-US" w:eastAsia="zh-CN"/>
        </w:rPr>
        <w:t>五</w:t>
      </w:r>
      <w:r>
        <w:rPr>
          <w:rFonts w:hint="eastAsia" w:ascii="黑体" w:hAnsi="黑体" w:eastAsia="黑体"/>
          <w:color w:val="auto"/>
          <w:sz w:val="28"/>
          <w:highlight w:val="none"/>
          <w:lang w:eastAsia="zh-CN"/>
        </w:rPr>
        <w:t>）</w:t>
      </w:r>
      <w:r>
        <w:rPr>
          <w:rFonts w:hint="eastAsia" w:ascii="黑体" w:hAnsi="黑体" w:eastAsia="黑体"/>
          <w:color w:val="auto"/>
          <w:sz w:val="28"/>
          <w:highlight w:val="none"/>
        </w:rPr>
        <w:t>提升管理队伍整体素质</w:t>
      </w:r>
      <w:bookmarkEnd w:id="227"/>
      <w:bookmarkEnd w:id="228"/>
      <w:bookmarkEnd w:id="229"/>
      <w:bookmarkEnd w:id="230"/>
      <w:bookmarkEnd w:id="231"/>
      <w:bookmarkEnd w:id="232"/>
    </w:p>
    <w:p>
      <w:pPr>
        <w:ind w:firstLine="480"/>
        <w:rPr>
          <w:rFonts w:ascii="宋体" w:hAnsi="宋体" w:cs="宋体"/>
          <w:color w:val="auto"/>
          <w:highlight w:val="none"/>
        </w:rPr>
      </w:pPr>
      <w:r>
        <w:rPr>
          <w:rFonts w:hint="eastAsia" w:ascii="宋体" w:hAnsi="宋体" w:cs="宋体"/>
          <w:color w:val="auto"/>
          <w:highlight w:val="none"/>
        </w:rPr>
        <w:t>学校现有</w:t>
      </w:r>
      <w:r>
        <w:rPr>
          <w:rFonts w:hint="eastAsia" w:ascii="宋体" w:hAnsi="宋体" w:cs="宋体"/>
          <w:color w:val="auto"/>
          <w:highlight w:val="none"/>
          <w:lang w:val="en-US" w:eastAsia="zh-CN"/>
        </w:rPr>
        <w:t>管理</w:t>
      </w:r>
      <w:r>
        <w:rPr>
          <w:rFonts w:hint="eastAsia" w:ascii="宋体" w:hAnsi="宋体" w:cs="宋体"/>
          <w:color w:val="auto"/>
          <w:highlight w:val="none"/>
        </w:rPr>
        <w:t>人员</w:t>
      </w:r>
      <w:r>
        <w:rPr>
          <w:rFonts w:hint="eastAsia" w:ascii="宋体" w:hAnsi="宋体" w:cs="宋体"/>
          <w:color w:val="auto"/>
          <w:highlight w:val="none"/>
          <w:lang w:val="en-US" w:eastAsia="zh-CN"/>
        </w:rPr>
        <w:t>313</w:t>
      </w:r>
      <w:r>
        <w:rPr>
          <w:rFonts w:hint="eastAsia" w:ascii="宋体" w:hAnsi="宋体" w:cs="宋体"/>
          <w:color w:val="auto"/>
          <w:highlight w:val="none"/>
        </w:rPr>
        <w:t>人，</w:t>
      </w:r>
      <w:r>
        <w:rPr>
          <w:rFonts w:ascii="宋体" w:hAnsi="宋体" w:cs="宋体"/>
          <w:color w:val="auto"/>
          <w:highlight w:val="none"/>
        </w:rPr>
        <w:t>管理</w:t>
      </w:r>
      <w:r>
        <w:rPr>
          <w:rFonts w:hint="eastAsia" w:ascii="宋体" w:hAnsi="宋体" w:cs="宋体"/>
          <w:color w:val="auto"/>
          <w:highlight w:val="none"/>
        </w:rPr>
        <w:t>人员</w:t>
      </w:r>
      <w:r>
        <w:rPr>
          <w:rFonts w:ascii="宋体" w:hAnsi="宋体" w:cs="宋体"/>
          <w:color w:val="auto"/>
          <w:highlight w:val="none"/>
        </w:rPr>
        <w:t>队伍的学历、专业、职称、年龄结构日趋合理。</w:t>
      </w:r>
    </w:p>
    <w:p>
      <w:pPr>
        <w:ind w:firstLine="480"/>
        <w:rPr>
          <w:rFonts w:ascii="宋体" w:hAnsi="宋体" w:cs="宋体"/>
          <w:color w:val="auto"/>
          <w:highlight w:val="none"/>
        </w:rPr>
      </w:pPr>
      <w:r>
        <w:rPr>
          <w:rFonts w:hint="eastAsia" w:ascii="宋体" w:hAnsi="宋体" w:cs="宋体"/>
          <w:color w:val="auto"/>
          <w:highlight w:val="none"/>
        </w:rPr>
        <w:t>学校重视教学管理队伍建设，通过教管人员业务能力研修、交流等活动，定期对教学管理人员开展业务培训，不断提升教学管理人员的责任意识、质量意识、服务意识、学习意识和信息意识。加强学校教学督导队伍建设，建立健全校院两级教学督导组织体系，加强督导工作广度与深度；进一步增加督导学科覆盖面，达到学科均衡覆盖。</w:t>
      </w:r>
    </w:p>
    <w:p>
      <w:pPr>
        <w:pStyle w:val="2"/>
        <w:numPr>
          <w:ilvl w:val="0"/>
          <w:numId w:val="0"/>
        </w:numPr>
        <w:rPr>
          <w:color w:val="auto"/>
        </w:rPr>
      </w:pPr>
      <w:bookmarkStart w:id="233" w:name="_Toc89702827"/>
      <w:bookmarkStart w:id="234" w:name="_Toc88219346"/>
      <w:bookmarkStart w:id="235" w:name="_Toc17770"/>
      <w:bookmarkStart w:id="236" w:name="_Toc88218448"/>
      <w:bookmarkStart w:id="237" w:name="_Toc910"/>
      <w:bookmarkStart w:id="238" w:name="_Toc21629"/>
      <w:r>
        <w:rPr>
          <w:rFonts w:hint="eastAsia"/>
          <w:color w:val="auto"/>
          <w:lang w:val="en-US" w:eastAsia="zh-CN"/>
        </w:rPr>
        <w:t>五、</w:t>
      </w:r>
      <w:r>
        <w:rPr>
          <w:rFonts w:hint="eastAsia"/>
          <w:color w:val="auto"/>
        </w:rPr>
        <w:t>学生学习效果</w:t>
      </w:r>
      <w:bookmarkEnd w:id="233"/>
      <w:bookmarkEnd w:id="234"/>
      <w:bookmarkEnd w:id="235"/>
      <w:bookmarkEnd w:id="236"/>
      <w:bookmarkEnd w:id="237"/>
      <w:bookmarkEnd w:id="238"/>
    </w:p>
    <w:p>
      <w:pPr>
        <w:pStyle w:val="3"/>
        <w:spacing w:before="156" w:after="156"/>
        <w:rPr>
          <w:rFonts w:hint="eastAsia" w:ascii="黑体" w:hAnsi="黑体" w:eastAsia="黑体"/>
          <w:color w:val="auto"/>
          <w:sz w:val="28"/>
          <w:highlight w:val="none"/>
          <w:lang w:val="en-US" w:eastAsia="zh-CN"/>
        </w:rPr>
      </w:pPr>
      <w:bookmarkStart w:id="239" w:name="_Toc88219347"/>
      <w:bookmarkStart w:id="240" w:name="_Toc89702828"/>
      <w:bookmarkStart w:id="241" w:name="_Toc20322"/>
      <w:bookmarkStart w:id="242" w:name="_Toc88218449"/>
      <w:bookmarkStart w:id="243" w:name="_Toc843"/>
      <w:bookmarkStart w:id="244" w:name="_Toc27864"/>
      <w:r>
        <w:rPr>
          <w:rFonts w:hint="eastAsia" w:ascii="黑体" w:hAnsi="黑体" w:eastAsia="黑体"/>
          <w:color w:val="auto"/>
          <w:sz w:val="28"/>
          <w:highlight w:val="none"/>
          <w:lang w:eastAsia="zh-CN"/>
        </w:rPr>
        <w:t>（</w:t>
      </w:r>
      <w:r>
        <w:rPr>
          <w:rFonts w:hint="eastAsia" w:ascii="黑体" w:hAnsi="黑体" w:eastAsia="黑体"/>
          <w:color w:val="auto"/>
          <w:sz w:val="28"/>
          <w:highlight w:val="none"/>
          <w:lang w:val="en-US" w:eastAsia="zh-CN"/>
        </w:rPr>
        <w:t>一</w:t>
      </w:r>
      <w:r>
        <w:rPr>
          <w:rFonts w:hint="eastAsia" w:ascii="黑体" w:hAnsi="黑体" w:eastAsia="黑体"/>
          <w:color w:val="auto"/>
          <w:sz w:val="28"/>
          <w:highlight w:val="none"/>
          <w:lang w:eastAsia="zh-CN"/>
        </w:rPr>
        <w:t>）</w:t>
      </w:r>
      <w:r>
        <w:rPr>
          <w:rFonts w:hint="eastAsia" w:ascii="黑体" w:hAnsi="黑体" w:eastAsia="黑体"/>
          <w:color w:val="auto"/>
          <w:sz w:val="28"/>
          <w:highlight w:val="none"/>
        </w:rPr>
        <w:t>学生学习满意度</w:t>
      </w:r>
      <w:bookmarkEnd w:id="239"/>
      <w:bookmarkEnd w:id="240"/>
      <w:bookmarkEnd w:id="241"/>
      <w:bookmarkEnd w:id="242"/>
      <w:bookmarkEnd w:id="243"/>
      <w:r>
        <w:rPr>
          <w:rFonts w:hint="eastAsia" w:ascii="黑体" w:hAnsi="黑体" w:eastAsia="黑体"/>
          <w:color w:val="auto"/>
          <w:sz w:val="28"/>
          <w:highlight w:val="none"/>
          <w:lang w:val="en-US" w:eastAsia="zh-CN"/>
        </w:rPr>
        <w:t>较高</w:t>
      </w:r>
      <w:bookmarkEnd w:id="244"/>
    </w:p>
    <w:p>
      <w:pPr>
        <w:pStyle w:val="4"/>
        <w:rPr>
          <w:rFonts w:ascii="黑体" w:hAnsi="黑体" w:cs="黑体"/>
          <w:color w:val="auto"/>
          <w:highlight w:val="none"/>
        </w:rPr>
      </w:pPr>
      <w:bookmarkStart w:id="245" w:name="_Toc501108737"/>
      <w:bookmarkStart w:id="246" w:name="_Toc88218450"/>
      <w:bookmarkStart w:id="247" w:name="_Toc11737"/>
      <w:bookmarkStart w:id="248" w:name="_Toc20253"/>
      <w:bookmarkStart w:id="249" w:name="_Toc3427"/>
      <w:bookmarkStart w:id="250" w:name="_Toc89702829"/>
      <w:bookmarkStart w:id="251" w:name="_Toc501108736"/>
      <w:r>
        <w:rPr>
          <w:rFonts w:hint="eastAsia" w:ascii="黑体" w:hAnsi="黑体" w:cs="黑体"/>
          <w:color w:val="auto"/>
          <w:highlight w:val="none"/>
          <w:lang w:val="en-US" w:eastAsia="zh-CN"/>
        </w:rPr>
        <w:t>1.</w:t>
      </w:r>
      <w:r>
        <w:rPr>
          <w:rFonts w:hint="eastAsia" w:ascii="黑体" w:hAnsi="黑体" w:cs="黑体"/>
          <w:color w:val="auto"/>
          <w:highlight w:val="none"/>
        </w:rPr>
        <w:t>课堂教学满意度</w:t>
      </w:r>
      <w:bookmarkEnd w:id="245"/>
      <w:r>
        <w:rPr>
          <w:rFonts w:hint="eastAsia" w:ascii="黑体" w:hAnsi="黑体" w:cs="黑体"/>
          <w:color w:val="auto"/>
          <w:highlight w:val="none"/>
        </w:rPr>
        <w:t>较高</w:t>
      </w:r>
      <w:bookmarkEnd w:id="246"/>
      <w:bookmarkEnd w:id="247"/>
      <w:bookmarkEnd w:id="248"/>
      <w:bookmarkEnd w:id="249"/>
      <w:bookmarkEnd w:id="250"/>
    </w:p>
    <w:p>
      <w:pPr>
        <w:ind w:firstLine="480"/>
        <w:rPr>
          <w:rFonts w:ascii="宋体" w:hAnsi="宋体" w:cs="宋体"/>
          <w:color w:val="auto"/>
          <w:highlight w:val="none"/>
        </w:rPr>
      </w:pPr>
      <w:r>
        <w:rPr>
          <w:rFonts w:hint="eastAsia" w:ascii="宋体" w:hAnsi="宋体" w:cs="宋体"/>
          <w:color w:val="auto"/>
          <w:highlight w:val="none"/>
        </w:rPr>
        <w:t>学校每学期开展学生评教活动，评价主体为全体参与本科教学活动的全日制本科学生，评价对象为所有承担本科教学任务的专任教师（含兼职教师）。学校按照分类评价的原则，根据课程性质将参评课程分为理论课、实验课、艺术类专业技法课、体育专业技能（大学体育）课四大类；评价指标体系分教学态度、教学内容、教学方法、教学能力、教学效果等五方面内容。202</w:t>
      </w:r>
      <w:r>
        <w:rPr>
          <w:rFonts w:ascii="宋体" w:hAnsi="宋体" w:cs="宋体"/>
          <w:color w:val="auto"/>
          <w:highlight w:val="none"/>
        </w:rPr>
        <w:t>2</w:t>
      </w:r>
      <w:r>
        <w:rPr>
          <w:rFonts w:hint="eastAsia" w:ascii="宋体" w:hAnsi="宋体" w:cs="宋体"/>
          <w:color w:val="auto"/>
          <w:highlight w:val="none"/>
        </w:rPr>
        <w:t>-202</w:t>
      </w:r>
      <w:r>
        <w:rPr>
          <w:rFonts w:ascii="宋体" w:hAnsi="宋体" w:cs="宋体"/>
          <w:color w:val="auto"/>
          <w:highlight w:val="none"/>
        </w:rPr>
        <w:t>3</w:t>
      </w:r>
      <w:r>
        <w:rPr>
          <w:rFonts w:hint="eastAsia" w:ascii="宋体" w:hAnsi="宋体" w:cs="宋体"/>
          <w:color w:val="auto"/>
          <w:highlight w:val="none"/>
        </w:rPr>
        <w:t>学年，参加评教的学生共计</w:t>
      </w:r>
      <w:r>
        <w:rPr>
          <w:rFonts w:ascii="宋体" w:hAnsi="宋体" w:cs="宋体"/>
          <w:color w:val="auto"/>
          <w:szCs w:val="24"/>
          <w:highlight w:val="none"/>
        </w:rPr>
        <w:t>567188</w:t>
      </w:r>
      <w:r>
        <w:rPr>
          <w:rFonts w:hint="eastAsia" w:ascii="宋体" w:hAnsi="宋体" w:cs="宋体"/>
          <w:color w:val="auto"/>
          <w:highlight w:val="none"/>
        </w:rPr>
        <w:t>人次，占需评人数比例9</w:t>
      </w:r>
      <w:r>
        <w:rPr>
          <w:rFonts w:ascii="宋体" w:hAnsi="宋体" w:cs="宋体"/>
          <w:color w:val="auto"/>
          <w:highlight w:val="none"/>
        </w:rPr>
        <w:t>3.18</w:t>
      </w:r>
      <w:r>
        <w:rPr>
          <w:rFonts w:hint="eastAsia" w:ascii="宋体" w:hAnsi="宋体" w:cs="宋体"/>
          <w:color w:val="auto"/>
          <w:highlight w:val="none"/>
        </w:rPr>
        <w:t>%。从评教结果看，学生对课堂教学的满意度较</w:t>
      </w:r>
      <w:r>
        <w:rPr>
          <w:rFonts w:hint="eastAsia" w:ascii="宋体" w:hAnsi="宋体" w:cs="宋体"/>
          <w:color w:val="auto"/>
          <w:highlight w:val="none"/>
          <w:lang w:val="en-US" w:eastAsia="zh-CN"/>
        </w:rPr>
        <w:t>去年提</w:t>
      </w:r>
      <w:r>
        <w:rPr>
          <w:rFonts w:hint="eastAsia" w:ascii="宋体" w:hAnsi="宋体" w:cs="宋体"/>
          <w:color w:val="auto"/>
          <w:highlight w:val="none"/>
        </w:rPr>
        <w:t>高（见表</w:t>
      </w:r>
      <w:r>
        <w:rPr>
          <w:rFonts w:hint="eastAsia" w:ascii="宋体" w:hAnsi="宋体" w:cs="宋体"/>
          <w:color w:val="auto"/>
          <w:highlight w:val="none"/>
          <w:lang w:val="en-US" w:eastAsia="zh-CN"/>
        </w:rPr>
        <w:t>8</w:t>
      </w:r>
      <w:r>
        <w:rPr>
          <w:rFonts w:hint="eastAsia" w:ascii="宋体" w:hAnsi="宋体" w:cs="宋体"/>
          <w:color w:val="auto"/>
          <w:highlight w:val="none"/>
        </w:rPr>
        <w:t>）。</w:t>
      </w:r>
    </w:p>
    <w:p>
      <w:pPr>
        <w:pStyle w:val="6"/>
        <w:spacing w:before="156" w:beforeLines="50" w:after="156" w:afterLines="50" w:line="240" w:lineRule="auto"/>
        <w:ind w:firstLine="0" w:firstLineChars="0"/>
        <w:jc w:val="center"/>
        <w:rPr>
          <w:rFonts w:ascii="宋体" w:hAnsi="宋体" w:eastAsia="宋体" w:cs="宋体"/>
          <w:color w:val="auto"/>
          <w:sz w:val="22"/>
          <w:szCs w:val="22"/>
          <w:highlight w:val="none"/>
        </w:rPr>
      </w:pPr>
      <w:r>
        <w:rPr>
          <w:rFonts w:hint="eastAsia" w:ascii="宋体" w:hAnsi="宋体" w:eastAsia="宋体" w:cs="宋体"/>
          <w:color w:val="auto"/>
          <w:sz w:val="24"/>
          <w:szCs w:val="24"/>
          <w:highlight w:val="none"/>
        </w:rPr>
        <w:t>表</w:t>
      </w:r>
      <w:bookmarkStart w:id="252" w:name="_Toc3109"/>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 xml:space="preserve"> 学生评教</w:t>
      </w:r>
      <w:r>
        <w:rPr>
          <w:rFonts w:hint="eastAsia" w:ascii="宋体" w:hAnsi="宋体" w:eastAsia="宋体" w:cs="宋体"/>
          <w:color w:val="auto"/>
          <w:sz w:val="24"/>
          <w:szCs w:val="24"/>
          <w:highlight w:val="none"/>
          <w:lang w:val="en-US" w:eastAsia="zh-CN"/>
        </w:rPr>
        <w:t>各</w:t>
      </w:r>
      <w:r>
        <w:rPr>
          <w:rFonts w:hint="eastAsia" w:ascii="宋体" w:hAnsi="宋体" w:eastAsia="宋体" w:cs="宋体"/>
          <w:color w:val="auto"/>
          <w:sz w:val="24"/>
          <w:szCs w:val="24"/>
          <w:highlight w:val="none"/>
        </w:rPr>
        <w:t>等级</w:t>
      </w:r>
      <w:r>
        <w:rPr>
          <w:rFonts w:hint="eastAsia" w:ascii="宋体" w:hAnsi="宋体" w:eastAsia="宋体" w:cs="宋体"/>
          <w:color w:val="auto"/>
          <w:sz w:val="24"/>
          <w:szCs w:val="24"/>
          <w:highlight w:val="none"/>
          <w:lang w:val="en-US" w:eastAsia="zh-CN"/>
        </w:rPr>
        <w:t>教师占比</w:t>
      </w:r>
      <w:bookmarkEnd w:id="252"/>
    </w:p>
    <w:tbl>
      <w:tblPr>
        <w:tblStyle w:val="1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9"/>
        <w:gridCol w:w="1929"/>
        <w:gridCol w:w="3062"/>
        <w:gridCol w:w="2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04" w:type="pct"/>
            <w:noWrap/>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序号</w:t>
            </w:r>
          </w:p>
        </w:tc>
        <w:tc>
          <w:tcPr>
            <w:tcW w:w="1132" w:type="pct"/>
            <w:noWrap/>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评教等级（分值）</w:t>
            </w:r>
          </w:p>
        </w:tc>
        <w:tc>
          <w:tcPr>
            <w:tcW w:w="1797" w:type="pct"/>
            <w:noWrap/>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2021-2022学年</w:t>
            </w:r>
            <w:r>
              <w:rPr>
                <w:rFonts w:hint="eastAsia" w:ascii="宋体" w:hAnsi="宋体" w:cs="宋体"/>
                <w:b/>
                <w:bCs/>
                <w:color w:val="auto"/>
                <w:kern w:val="0"/>
                <w:sz w:val="21"/>
                <w:szCs w:val="21"/>
                <w:highlight w:val="none"/>
              </w:rPr>
              <w:t>（%）</w:t>
            </w:r>
          </w:p>
        </w:tc>
        <w:tc>
          <w:tcPr>
            <w:tcW w:w="1566" w:type="pct"/>
            <w:noWrap/>
            <w:vAlign w:val="center"/>
          </w:tcPr>
          <w:p>
            <w:pPr>
              <w:autoSpaceDE w:val="0"/>
              <w:autoSpaceDN w:val="0"/>
              <w:adjustRightInd w:val="0"/>
              <w:snapToGrid w:val="0"/>
              <w:spacing w:line="240" w:lineRule="auto"/>
              <w:ind w:firstLine="0" w:firstLineChars="0"/>
              <w:jc w:val="center"/>
              <w:rPr>
                <w:rFonts w:hint="default" w:ascii="宋体" w:hAnsi="宋体" w:eastAsia="宋体" w:cs="宋体"/>
                <w:b/>
                <w:bCs/>
                <w:color w:val="auto"/>
                <w:kern w:val="0"/>
                <w:sz w:val="21"/>
                <w:szCs w:val="21"/>
                <w:highlight w:val="none"/>
                <w:lang w:val="en-US" w:eastAsia="zh-CN"/>
              </w:rPr>
            </w:pPr>
            <w:r>
              <w:rPr>
                <w:rFonts w:hint="eastAsia" w:ascii="宋体" w:hAnsi="宋体" w:cs="宋体"/>
                <w:b/>
                <w:bCs/>
                <w:color w:val="auto"/>
                <w:kern w:val="0"/>
                <w:sz w:val="21"/>
                <w:szCs w:val="21"/>
                <w:highlight w:val="none"/>
                <w:lang w:val="en-US" w:eastAsia="zh-CN"/>
              </w:rPr>
              <w:t>2022-2023学年</w:t>
            </w:r>
            <w:r>
              <w:rPr>
                <w:rFonts w:hint="eastAsia" w:ascii="宋体" w:hAnsi="宋体" w:cs="宋体"/>
                <w:b/>
                <w:bCs/>
                <w:color w:val="auto"/>
                <w:kern w:val="0"/>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04" w:type="pct"/>
            <w:noWrap/>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1</w:t>
            </w:r>
          </w:p>
        </w:tc>
        <w:tc>
          <w:tcPr>
            <w:tcW w:w="1132" w:type="pct"/>
            <w:noWrap/>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100-95分</w:t>
            </w:r>
          </w:p>
        </w:tc>
        <w:tc>
          <w:tcPr>
            <w:tcW w:w="1797" w:type="pct"/>
            <w:noWrap/>
            <w:vAlign w:val="center"/>
          </w:tcPr>
          <w:p>
            <w:pPr>
              <w:autoSpaceDE w:val="0"/>
              <w:autoSpaceDN w:val="0"/>
              <w:adjustRightInd w:val="0"/>
              <w:snapToGrid w:val="0"/>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66.05</w:t>
            </w:r>
          </w:p>
        </w:tc>
        <w:tc>
          <w:tcPr>
            <w:tcW w:w="1566" w:type="pct"/>
            <w:noWrap/>
            <w:vAlign w:val="center"/>
          </w:tcPr>
          <w:p>
            <w:pPr>
              <w:autoSpaceDE w:val="0"/>
              <w:autoSpaceDN w:val="0"/>
              <w:adjustRightInd w:val="0"/>
              <w:snapToGrid w:val="0"/>
              <w:spacing w:line="240" w:lineRule="auto"/>
              <w:ind w:firstLine="0" w:firstLineChars="0"/>
              <w:jc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71.59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04" w:type="pct"/>
            <w:noWrap/>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2</w:t>
            </w:r>
          </w:p>
        </w:tc>
        <w:tc>
          <w:tcPr>
            <w:tcW w:w="1132" w:type="pct"/>
            <w:noWrap/>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95-90分</w:t>
            </w:r>
          </w:p>
        </w:tc>
        <w:tc>
          <w:tcPr>
            <w:tcW w:w="1797" w:type="pct"/>
            <w:noWrap/>
            <w:vAlign w:val="center"/>
          </w:tcPr>
          <w:p>
            <w:pPr>
              <w:autoSpaceDE w:val="0"/>
              <w:autoSpaceDN w:val="0"/>
              <w:adjustRightInd w:val="0"/>
              <w:snapToGrid w:val="0"/>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30.26</w:t>
            </w:r>
          </w:p>
        </w:tc>
        <w:tc>
          <w:tcPr>
            <w:tcW w:w="1566" w:type="pct"/>
            <w:noWrap/>
            <w:vAlign w:val="center"/>
          </w:tcPr>
          <w:p>
            <w:pPr>
              <w:autoSpaceDE w:val="0"/>
              <w:autoSpaceDN w:val="0"/>
              <w:adjustRightInd w:val="0"/>
              <w:snapToGrid w:val="0"/>
              <w:spacing w:line="240" w:lineRule="auto"/>
              <w:ind w:firstLine="0" w:firstLineChars="0"/>
              <w:jc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26.87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04" w:type="pct"/>
            <w:noWrap/>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3</w:t>
            </w:r>
          </w:p>
        </w:tc>
        <w:tc>
          <w:tcPr>
            <w:tcW w:w="1132" w:type="pct"/>
            <w:noWrap/>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90-80分</w:t>
            </w:r>
          </w:p>
        </w:tc>
        <w:tc>
          <w:tcPr>
            <w:tcW w:w="1797" w:type="pct"/>
            <w:noWrap/>
            <w:vAlign w:val="center"/>
          </w:tcPr>
          <w:p>
            <w:pPr>
              <w:autoSpaceDE w:val="0"/>
              <w:autoSpaceDN w:val="0"/>
              <w:adjustRightInd w:val="0"/>
              <w:snapToGrid w:val="0"/>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2.66</w:t>
            </w:r>
          </w:p>
        </w:tc>
        <w:tc>
          <w:tcPr>
            <w:tcW w:w="1566" w:type="pct"/>
            <w:noWrap/>
            <w:vAlign w:val="center"/>
          </w:tcPr>
          <w:p>
            <w:pPr>
              <w:autoSpaceDE w:val="0"/>
              <w:autoSpaceDN w:val="0"/>
              <w:adjustRightInd w:val="0"/>
              <w:snapToGrid w:val="0"/>
              <w:spacing w:line="240" w:lineRule="auto"/>
              <w:ind w:firstLine="0" w:firstLineChars="0"/>
              <w:jc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04" w:type="pct"/>
            <w:noWrap/>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4</w:t>
            </w:r>
          </w:p>
        </w:tc>
        <w:tc>
          <w:tcPr>
            <w:tcW w:w="1132" w:type="pct"/>
            <w:noWrap/>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80分以下</w:t>
            </w:r>
          </w:p>
        </w:tc>
        <w:tc>
          <w:tcPr>
            <w:tcW w:w="1797" w:type="pct"/>
            <w:noWrap/>
            <w:vAlign w:val="center"/>
          </w:tcPr>
          <w:p>
            <w:pPr>
              <w:autoSpaceDE w:val="0"/>
              <w:autoSpaceDN w:val="0"/>
              <w:adjustRightInd w:val="0"/>
              <w:snapToGrid w:val="0"/>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0.27</w:t>
            </w:r>
          </w:p>
        </w:tc>
        <w:tc>
          <w:tcPr>
            <w:tcW w:w="1566" w:type="pct"/>
            <w:noWrap/>
            <w:vAlign w:val="center"/>
          </w:tcPr>
          <w:p>
            <w:pPr>
              <w:autoSpaceDE w:val="0"/>
              <w:autoSpaceDN w:val="0"/>
              <w:adjustRightInd w:val="0"/>
              <w:snapToGrid w:val="0"/>
              <w:spacing w:line="240" w:lineRule="auto"/>
              <w:ind w:firstLine="0" w:firstLineChars="0"/>
              <w:jc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0.04</w:t>
            </w:r>
          </w:p>
        </w:tc>
      </w:tr>
    </w:tbl>
    <w:p>
      <w:pPr>
        <w:pStyle w:val="4"/>
        <w:rPr>
          <w:rFonts w:ascii="黑体" w:hAnsi="黑体" w:cs="黑体"/>
          <w:color w:val="auto"/>
          <w:highlight w:val="none"/>
        </w:rPr>
      </w:pPr>
      <w:bookmarkStart w:id="253" w:name="_Toc27832"/>
      <w:bookmarkStart w:id="254" w:name="_Toc28393"/>
      <w:bookmarkStart w:id="255" w:name="_Toc11205"/>
      <w:r>
        <w:rPr>
          <w:rFonts w:hint="eastAsia" w:ascii="黑体" w:hAnsi="黑体" w:cs="黑体"/>
          <w:color w:val="auto"/>
          <w:highlight w:val="none"/>
        </w:rPr>
        <w:t>2</w:t>
      </w:r>
      <w:r>
        <w:rPr>
          <w:rFonts w:hint="eastAsia" w:ascii="黑体" w:hAnsi="黑体" w:cs="黑体"/>
          <w:color w:val="auto"/>
          <w:highlight w:val="none"/>
          <w:lang w:eastAsia="zh-CN"/>
        </w:rPr>
        <w:t>.</w:t>
      </w:r>
      <w:r>
        <w:rPr>
          <w:rFonts w:hint="eastAsia" w:ascii="黑体" w:hAnsi="黑体" w:cs="黑体"/>
          <w:color w:val="auto"/>
          <w:highlight w:val="none"/>
        </w:rPr>
        <w:t>专业满意度逐年提升</w:t>
      </w:r>
      <w:bookmarkEnd w:id="253"/>
      <w:bookmarkEnd w:id="254"/>
      <w:bookmarkEnd w:id="255"/>
    </w:p>
    <w:p>
      <w:pPr>
        <w:ind w:firstLine="480"/>
        <w:rPr>
          <w:rFonts w:ascii="宋体" w:hAnsi="宋体" w:cs="宋体"/>
          <w:color w:val="auto"/>
          <w:highlight w:val="none"/>
        </w:rPr>
      </w:pPr>
      <w:r>
        <w:rPr>
          <w:rFonts w:hint="eastAsia" w:ascii="宋体" w:hAnsi="宋体" w:cs="宋体"/>
          <w:color w:val="auto"/>
          <w:highlight w:val="none"/>
        </w:rPr>
        <w:t>开展在校生专业满意度调查。调查的专业范围包括有在校生的所有专业，调查对象为在校大二至大三学生（五年制医学类专业为在校大二至大四学生）。调查问卷将专业满意度分解为10个指标，对于每个指标给予“很满意（10分）”“满意（8分）”“基本满意（6分）”“不满意（0分）”四个等级。</w:t>
      </w:r>
      <w:r>
        <w:rPr>
          <w:rFonts w:hint="eastAsia" w:ascii="Times New Roman" w:hAnsi="Times New Roman"/>
          <w:color w:val="auto"/>
          <w:highlight w:val="none"/>
        </w:rPr>
        <w:t>调查结果显示，在校生专业满意度逐年提升（见表</w:t>
      </w:r>
      <w:r>
        <w:rPr>
          <w:rFonts w:hint="eastAsia" w:ascii="Times New Roman" w:hAnsi="Times New Roman"/>
          <w:color w:val="auto"/>
          <w:highlight w:val="none"/>
          <w:lang w:val="en-US" w:eastAsia="zh-CN"/>
        </w:rPr>
        <w:t>9</w:t>
      </w:r>
      <w:r>
        <w:rPr>
          <w:rFonts w:hint="eastAsia" w:ascii="Times New Roman" w:hAnsi="Times New Roman"/>
          <w:color w:val="auto"/>
          <w:highlight w:val="none"/>
        </w:rPr>
        <w:t>）。</w:t>
      </w:r>
    </w:p>
    <w:p>
      <w:pPr>
        <w:pStyle w:val="6"/>
        <w:spacing w:before="156" w:beforeLines="50" w:after="156" w:afterLines="50" w:line="240" w:lineRule="auto"/>
        <w:ind w:firstLine="0" w:firstLineChars="0"/>
        <w:jc w:val="center"/>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表</w:t>
      </w:r>
      <w:bookmarkStart w:id="256" w:name="_Toc31753"/>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 xml:space="preserve"> 专业指标单项满意度及总体满意度对比</w:t>
      </w:r>
      <w:bookmarkEnd w:id="256"/>
    </w:p>
    <w:tbl>
      <w:tblPr>
        <w:tblStyle w:val="18"/>
        <w:tblW w:w="49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14"/>
        <w:gridCol w:w="4165"/>
        <w:gridCol w:w="1166"/>
        <w:gridCol w:w="1120"/>
        <w:gridCol w:w="1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0" w:hRule="atLeast"/>
          <w:jc w:val="center"/>
        </w:trPr>
        <w:tc>
          <w:tcPr>
            <w:tcW w:w="714" w:type="dxa"/>
            <w:vMerge w:val="restart"/>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序号</w:t>
            </w:r>
          </w:p>
        </w:tc>
        <w:tc>
          <w:tcPr>
            <w:tcW w:w="4166" w:type="dxa"/>
            <w:vMerge w:val="restart"/>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满意度指标</w:t>
            </w:r>
          </w:p>
        </w:tc>
        <w:tc>
          <w:tcPr>
            <w:tcW w:w="3360" w:type="dxa"/>
            <w:gridSpan w:val="3"/>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满意度（%）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6" w:hRule="atLeast"/>
          <w:jc w:val="center"/>
        </w:trPr>
        <w:tc>
          <w:tcPr>
            <w:tcW w:w="714" w:type="dxa"/>
            <w:vMerge w:val="continue"/>
            <w:shd w:val="clear" w:color="auto" w:fill="auto"/>
            <w:tcMar>
              <w:top w:w="15" w:type="dxa"/>
              <w:left w:w="15" w:type="dxa"/>
              <w:right w:w="15" w:type="dxa"/>
            </w:tcMar>
            <w:vAlign w:val="center"/>
          </w:tcPr>
          <w:p>
            <w:pPr>
              <w:widowControl/>
              <w:adjustRightInd w:val="0"/>
              <w:spacing w:line="240" w:lineRule="auto"/>
              <w:ind w:firstLine="0" w:firstLineChars="0"/>
              <w:jc w:val="center"/>
              <w:rPr>
                <w:rFonts w:ascii="宋体" w:hAnsi="宋体" w:cs="宋体"/>
                <w:b/>
                <w:bCs/>
                <w:color w:val="auto"/>
                <w:kern w:val="0"/>
                <w:sz w:val="21"/>
                <w:szCs w:val="21"/>
                <w:highlight w:val="none"/>
              </w:rPr>
            </w:pPr>
          </w:p>
        </w:tc>
        <w:tc>
          <w:tcPr>
            <w:tcW w:w="4166" w:type="dxa"/>
            <w:vMerge w:val="continue"/>
            <w:shd w:val="clear" w:color="auto" w:fill="auto"/>
            <w:tcMar>
              <w:top w:w="15" w:type="dxa"/>
              <w:left w:w="15" w:type="dxa"/>
              <w:right w:w="15" w:type="dxa"/>
            </w:tcMar>
            <w:vAlign w:val="center"/>
          </w:tcPr>
          <w:p>
            <w:pPr>
              <w:widowControl/>
              <w:adjustRightInd w:val="0"/>
              <w:spacing w:line="240" w:lineRule="auto"/>
              <w:ind w:firstLine="0" w:firstLineChars="0"/>
              <w:jc w:val="center"/>
              <w:rPr>
                <w:rFonts w:ascii="宋体" w:hAnsi="宋体" w:cs="宋体"/>
                <w:b/>
                <w:bCs/>
                <w:color w:val="auto"/>
                <w:kern w:val="0"/>
                <w:sz w:val="21"/>
                <w:szCs w:val="21"/>
                <w:highlight w:val="none"/>
              </w:rPr>
            </w:pPr>
          </w:p>
        </w:tc>
        <w:tc>
          <w:tcPr>
            <w:tcW w:w="1166" w:type="dxa"/>
            <w:shd w:val="clear" w:color="auto" w:fill="auto"/>
            <w:tcMar>
              <w:top w:w="15" w:type="dxa"/>
              <w:left w:w="15" w:type="dxa"/>
              <w:right w:w="15" w:type="dxa"/>
            </w:tcMar>
            <w:vAlign w:val="center"/>
          </w:tcPr>
          <w:p>
            <w:pPr>
              <w:widowControl/>
              <w:adjustRightInd w:val="0"/>
              <w:spacing w:line="240" w:lineRule="auto"/>
              <w:ind w:firstLine="0" w:firstLineChars="0"/>
              <w:jc w:val="center"/>
              <w:textAlignment w:val="center"/>
              <w:rPr>
                <w:rFonts w:ascii="宋体" w:hAnsi="宋体" w:eastAsia="宋体" w:cs="宋体"/>
                <w:b/>
                <w:bCs/>
                <w:color w:val="auto"/>
                <w:kern w:val="0"/>
                <w:sz w:val="21"/>
                <w:szCs w:val="21"/>
                <w:highlight w:val="none"/>
                <w:lang w:val="en-US" w:eastAsia="zh-CN" w:bidi="ar-SA"/>
              </w:rPr>
            </w:pPr>
            <w:r>
              <w:rPr>
                <w:rFonts w:hint="eastAsia" w:ascii="宋体" w:hAnsi="宋体" w:cs="宋体"/>
                <w:b/>
                <w:bCs/>
                <w:color w:val="auto"/>
                <w:kern w:val="0"/>
                <w:sz w:val="21"/>
                <w:szCs w:val="21"/>
                <w:highlight w:val="none"/>
              </w:rPr>
              <w:t>2020-2021</w:t>
            </w:r>
          </w:p>
        </w:tc>
        <w:tc>
          <w:tcPr>
            <w:tcW w:w="1120" w:type="dxa"/>
            <w:shd w:val="clear" w:color="auto" w:fill="auto"/>
            <w:tcMar>
              <w:top w:w="15" w:type="dxa"/>
              <w:left w:w="15" w:type="dxa"/>
              <w:right w:w="15" w:type="dxa"/>
            </w:tcMar>
            <w:vAlign w:val="center"/>
          </w:tcPr>
          <w:p>
            <w:pPr>
              <w:widowControl/>
              <w:adjustRightInd w:val="0"/>
              <w:spacing w:line="240" w:lineRule="auto"/>
              <w:ind w:firstLine="0" w:firstLineChars="0"/>
              <w:jc w:val="center"/>
              <w:textAlignment w:val="center"/>
              <w:rPr>
                <w:rFonts w:ascii="宋体" w:hAnsi="宋体" w:eastAsia="宋体" w:cs="宋体"/>
                <w:b/>
                <w:bCs/>
                <w:color w:val="auto"/>
                <w:kern w:val="0"/>
                <w:sz w:val="21"/>
                <w:szCs w:val="21"/>
                <w:highlight w:val="none"/>
                <w:lang w:val="en-US" w:eastAsia="zh-CN" w:bidi="ar-SA"/>
              </w:rPr>
            </w:pPr>
            <w:r>
              <w:rPr>
                <w:rFonts w:ascii="宋体" w:hAnsi="宋体" w:cs="宋体"/>
                <w:b/>
                <w:bCs/>
                <w:color w:val="auto"/>
                <w:kern w:val="0"/>
                <w:sz w:val="21"/>
                <w:szCs w:val="21"/>
                <w:highlight w:val="none"/>
              </w:rPr>
              <w:t>2021-2022</w:t>
            </w:r>
          </w:p>
        </w:tc>
        <w:tc>
          <w:tcPr>
            <w:tcW w:w="1074" w:type="dxa"/>
            <w:shd w:val="clear" w:color="auto" w:fill="auto"/>
            <w:tcMar>
              <w:top w:w="15" w:type="dxa"/>
              <w:left w:w="15" w:type="dxa"/>
              <w:right w:w="15" w:type="dxa"/>
            </w:tcMar>
            <w:vAlign w:val="center"/>
          </w:tcPr>
          <w:p>
            <w:pPr>
              <w:widowControl/>
              <w:adjustRightInd w:val="0"/>
              <w:spacing w:line="240" w:lineRule="auto"/>
              <w:ind w:firstLine="0" w:firstLineChars="0"/>
              <w:jc w:val="center"/>
              <w:textAlignment w:val="center"/>
              <w:rPr>
                <w:rFonts w:hint="default" w:ascii="宋体" w:hAnsi="宋体" w:eastAsia="宋体" w:cs="宋体"/>
                <w:b/>
                <w:bCs/>
                <w:color w:val="auto"/>
                <w:kern w:val="0"/>
                <w:sz w:val="21"/>
                <w:szCs w:val="21"/>
                <w:highlight w:val="yellow"/>
                <w:lang w:val="en-US" w:eastAsia="zh-CN"/>
              </w:rPr>
            </w:pPr>
            <w:r>
              <w:rPr>
                <w:rFonts w:hint="eastAsia" w:ascii="宋体" w:hAnsi="宋体" w:cs="宋体"/>
                <w:b/>
                <w:bCs/>
                <w:color w:val="auto"/>
                <w:kern w:val="0"/>
                <w:sz w:val="21"/>
                <w:szCs w:val="21"/>
              </w:rPr>
              <w:t>2022-2023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0" w:hRule="atLeast"/>
          <w:jc w:val="center"/>
        </w:trPr>
        <w:tc>
          <w:tcPr>
            <w:tcW w:w="714"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1</w:t>
            </w:r>
          </w:p>
        </w:tc>
        <w:tc>
          <w:tcPr>
            <w:tcW w:w="4166"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专业培养方案及教学计划</w:t>
            </w:r>
          </w:p>
        </w:tc>
        <w:tc>
          <w:tcPr>
            <w:tcW w:w="1166"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eastAsia="宋体" w:cs="宋体"/>
                <w:color w:val="auto"/>
                <w:kern w:val="0"/>
                <w:sz w:val="21"/>
                <w:szCs w:val="21"/>
                <w:highlight w:val="none"/>
                <w:lang w:val="en-US" w:eastAsia="zh-CN" w:bidi="ar-SA"/>
              </w:rPr>
            </w:pPr>
            <w:r>
              <w:rPr>
                <w:rFonts w:ascii="宋体" w:hAnsi="宋体" w:cs="宋体"/>
                <w:color w:val="auto"/>
                <w:kern w:val="0"/>
                <w:sz w:val="21"/>
                <w:szCs w:val="21"/>
                <w:highlight w:val="none"/>
              </w:rPr>
              <w:t>82.87</w:t>
            </w:r>
          </w:p>
        </w:tc>
        <w:tc>
          <w:tcPr>
            <w:tcW w:w="1120"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82.68</w:t>
            </w:r>
          </w:p>
        </w:tc>
        <w:tc>
          <w:tcPr>
            <w:tcW w:w="1074"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color w:val="auto"/>
                <w:kern w:val="0"/>
                <w:sz w:val="21"/>
                <w:szCs w:val="21"/>
                <w:highlight w:val="yellow"/>
              </w:rPr>
            </w:pPr>
            <w:r>
              <w:rPr>
                <w:rFonts w:ascii="宋体" w:hAnsi="宋体" w:cs="宋体"/>
                <w:color w:val="auto"/>
                <w:kern w:val="0"/>
                <w:sz w:val="21"/>
                <w:szCs w:val="21"/>
              </w:rPr>
              <w:t>84.42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0" w:hRule="atLeast"/>
          <w:jc w:val="center"/>
        </w:trPr>
        <w:tc>
          <w:tcPr>
            <w:tcW w:w="714"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2</w:t>
            </w:r>
          </w:p>
        </w:tc>
        <w:tc>
          <w:tcPr>
            <w:tcW w:w="4166"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专业课程设置和教学内容</w:t>
            </w:r>
          </w:p>
        </w:tc>
        <w:tc>
          <w:tcPr>
            <w:tcW w:w="1166"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eastAsia="宋体" w:cs="宋体"/>
                <w:color w:val="auto"/>
                <w:kern w:val="0"/>
                <w:sz w:val="21"/>
                <w:szCs w:val="21"/>
                <w:highlight w:val="none"/>
                <w:lang w:val="en-US" w:eastAsia="zh-CN" w:bidi="ar-SA"/>
              </w:rPr>
            </w:pPr>
            <w:r>
              <w:rPr>
                <w:rFonts w:ascii="宋体" w:hAnsi="宋体" w:cs="宋体"/>
                <w:color w:val="auto"/>
                <w:kern w:val="0"/>
                <w:sz w:val="21"/>
                <w:szCs w:val="21"/>
                <w:highlight w:val="none"/>
              </w:rPr>
              <w:t>82.60</w:t>
            </w:r>
          </w:p>
        </w:tc>
        <w:tc>
          <w:tcPr>
            <w:tcW w:w="1120"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81.87</w:t>
            </w:r>
          </w:p>
        </w:tc>
        <w:tc>
          <w:tcPr>
            <w:tcW w:w="1074"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color w:val="auto"/>
                <w:kern w:val="0"/>
                <w:sz w:val="21"/>
                <w:szCs w:val="21"/>
                <w:highlight w:val="yellow"/>
              </w:rPr>
            </w:pPr>
            <w:r>
              <w:rPr>
                <w:rFonts w:ascii="宋体" w:hAnsi="宋体" w:cs="宋体"/>
                <w:color w:val="auto"/>
                <w:kern w:val="0"/>
                <w:sz w:val="21"/>
                <w:szCs w:val="21"/>
              </w:rPr>
              <w:t>83.56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0" w:hRule="atLeast"/>
          <w:jc w:val="center"/>
        </w:trPr>
        <w:tc>
          <w:tcPr>
            <w:tcW w:w="714"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3</w:t>
            </w:r>
          </w:p>
        </w:tc>
        <w:tc>
          <w:tcPr>
            <w:tcW w:w="4166"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专业使用的教材质量和图书资料</w:t>
            </w:r>
          </w:p>
        </w:tc>
        <w:tc>
          <w:tcPr>
            <w:tcW w:w="1166"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eastAsia="宋体" w:cs="宋体"/>
                <w:color w:val="auto"/>
                <w:kern w:val="0"/>
                <w:sz w:val="21"/>
                <w:szCs w:val="21"/>
                <w:highlight w:val="none"/>
                <w:lang w:val="en-US" w:eastAsia="zh-CN" w:bidi="ar-SA"/>
              </w:rPr>
            </w:pPr>
            <w:r>
              <w:rPr>
                <w:rFonts w:ascii="宋体" w:hAnsi="宋体" w:cs="宋体"/>
                <w:color w:val="auto"/>
                <w:kern w:val="0"/>
                <w:sz w:val="21"/>
                <w:szCs w:val="21"/>
                <w:highlight w:val="none"/>
              </w:rPr>
              <w:t>83.89</w:t>
            </w:r>
          </w:p>
        </w:tc>
        <w:tc>
          <w:tcPr>
            <w:tcW w:w="1120"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83.36</w:t>
            </w:r>
          </w:p>
        </w:tc>
        <w:tc>
          <w:tcPr>
            <w:tcW w:w="1074"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color w:val="auto"/>
                <w:kern w:val="0"/>
                <w:sz w:val="21"/>
                <w:szCs w:val="21"/>
                <w:highlight w:val="yellow"/>
              </w:rPr>
            </w:pPr>
            <w:r>
              <w:rPr>
                <w:rFonts w:ascii="宋体" w:hAnsi="宋体" w:cs="宋体"/>
                <w:color w:val="auto"/>
                <w:kern w:val="0"/>
                <w:sz w:val="21"/>
                <w:szCs w:val="21"/>
              </w:rPr>
              <w:t>84.82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0" w:hRule="atLeast"/>
          <w:jc w:val="center"/>
        </w:trPr>
        <w:tc>
          <w:tcPr>
            <w:tcW w:w="714"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4</w:t>
            </w:r>
          </w:p>
        </w:tc>
        <w:tc>
          <w:tcPr>
            <w:tcW w:w="4166"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专业教学实验设备或现有教学条件</w:t>
            </w:r>
          </w:p>
        </w:tc>
        <w:tc>
          <w:tcPr>
            <w:tcW w:w="1166"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eastAsia="宋体" w:cs="宋体"/>
                <w:color w:val="auto"/>
                <w:kern w:val="0"/>
                <w:sz w:val="21"/>
                <w:szCs w:val="21"/>
                <w:highlight w:val="none"/>
                <w:lang w:val="en-US" w:eastAsia="zh-CN" w:bidi="ar-SA"/>
              </w:rPr>
            </w:pPr>
            <w:r>
              <w:rPr>
                <w:rFonts w:ascii="宋体" w:hAnsi="宋体" w:cs="宋体"/>
                <w:color w:val="auto"/>
                <w:kern w:val="0"/>
                <w:sz w:val="21"/>
                <w:szCs w:val="21"/>
                <w:highlight w:val="none"/>
              </w:rPr>
              <w:t>85.19</w:t>
            </w:r>
          </w:p>
        </w:tc>
        <w:tc>
          <w:tcPr>
            <w:tcW w:w="1120"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85.13</w:t>
            </w:r>
          </w:p>
        </w:tc>
        <w:tc>
          <w:tcPr>
            <w:tcW w:w="1074"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color w:val="auto"/>
                <w:kern w:val="0"/>
                <w:sz w:val="21"/>
                <w:szCs w:val="21"/>
                <w:highlight w:val="yellow"/>
              </w:rPr>
            </w:pPr>
            <w:r>
              <w:rPr>
                <w:rFonts w:ascii="宋体" w:hAnsi="宋体" w:cs="宋体"/>
                <w:color w:val="auto"/>
                <w:kern w:val="0"/>
                <w:sz w:val="21"/>
                <w:szCs w:val="21"/>
              </w:rPr>
              <w:t>83.02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0" w:hRule="atLeast"/>
          <w:jc w:val="center"/>
        </w:trPr>
        <w:tc>
          <w:tcPr>
            <w:tcW w:w="714"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5</w:t>
            </w:r>
          </w:p>
        </w:tc>
        <w:tc>
          <w:tcPr>
            <w:tcW w:w="4166"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专业课堂教学的总体效果</w:t>
            </w:r>
          </w:p>
        </w:tc>
        <w:tc>
          <w:tcPr>
            <w:tcW w:w="1166"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eastAsia="宋体" w:cs="宋体"/>
                <w:color w:val="auto"/>
                <w:kern w:val="0"/>
                <w:sz w:val="21"/>
                <w:szCs w:val="21"/>
                <w:highlight w:val="none"/>
                <w:lang w:val="en-US" w:eastAsia="zh-CN" w:bidi="ar-SA"/>
              </w:rPr>
            </w:pPr>
            <w:r>
              <w:rPr>
                <w:rFonts w:ascii="宋体" w:hAnsi="宋体" w:cs="宋体"/>
                <w:color w:val="auto"/>
                <w:kern w:val="0"/>
                <w:sz w:val="21"/>
                <w:szCs w:val="21"/>
                <w:highlight w:val="none"/>
              </w:rPr>
              <w:t>84.96</w:t>
            </w:r>
          </w:p>
        </w:tc>
        <w:tc>
          <w:tcPr>
            <w:tcW w:w="1120"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85.13</w:t>
            </w:r>
          </w:p>
        </w:tc>
        <w:tc>
          <w:tcPr>
            <w:tcW w:w="1074"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color w:val="auto"/>
                <w:kern w:val="0"/>
                <w:sz w:val="21"/>
                <w:szCs w:val="21"/>
                <w:highlight w:val="yellow"/>
              </w:rPr>
            </w:pPr>
            <w:r>
              <w:rPr>
                <w:rFonts w:ascii="宋体" w:hAnsi="宋体" w:cs="宋体"/>
                <w:color w:val="auto"/>
                <w:kern w:val="0"/>
                <w:sz w:val="21"/>
                <w:szCs w:val="21"/>
              </w:rPr>
              <w:t>85.60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0" w:hRule="atLeast"/>
          <w:jc w:val="center"/>
        </w:trPr>
        <w:tc>
          <w:tcPr>
            <w:tcW w:w="714"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6</w:t>
            </w:r>
          </w:p>
        </w:tc>
        <w:tc>
          <w:tcPr>
            <w:tcW w:w="4166"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专业实验（训）教学及见习实习等</w:t>
            </w:r>
          </w:p>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实践环节的总体效果</w:t>
            </w:r>
          </w:p>
        </w:tc>
        <w:tc>
          <w:tcPr>
            <w:tcW w:w="1166"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eastAsia="宋体" w:cs="宋体"/>
                <w:color w:val="auto"/>
                <w:kern w:val="0"/>
                <w:sz w:val="21"/>
                <w:szCs w:val="21"/>
                <w:highlight w:val="none"/>
                <w:lang w:val="en-US" w:eastAsia="zh-CN" w:bidi="ar-SA"/>
              </w:rPr>
            </w:pPr>
            <w:r>
              <w:rPr>
                <w:rFonts w:ascii="宋体" w:hAnsi="宋体" w:cs="宋体"/>
                <w:color w:val="auto"/>
                <w:kern w:val="0"/>
                <w:sz w:val="21"/>
                <w:szCs w:val="21"/>
                <w:highlight w:val="none"/>
              </w:rPr>
              <w:t>84.10</w:t>
            </w:r>
          </w:p>
        </w:tc>
        <w:tc>
          <w:tcPr>
            <w:tcW w:w="1120"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82.41</w:t>
            </w:r>
          </w:p>
        </w:tc>
        <w:tc>
          <w:tcPr>
            <w:tcW w:w="1074"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color w:val="auto"/>
                <w:kern w:val="0"/>
                <w:sz w:val="21"/>
                <w:szCs w:val="21"/>
                <w:highlight w:val="yellow"/>
              </w:rPr>
            </w:pPr>
            <w:r>
              <w:rPr>
                <w:rFonts w:ascii="宋体" w:hAnsi="宋体" w:cs="宋体"/>
                <w:color w:val="auto"/>
                <w:kern w:val="0"/>
                <w:sz w:val="21"/>
                <w:szCs w:val="21"/>
              </w:rPr>
              <w:t>84.76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0" w:hRule="atLeast"/>
          <w:jc w:val="center"/>
        </w:trPr>
        <w:tc>
          <w:tcPr>
            <w:tcW w:w="714"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7</w:t>
            </w:r>
          </w:p>
        </w:tc>
        <w:tc>
          <w:tcPr>
            <w:tcW w:w="4166"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专业相关教学管理和服务</w:t>
            </w:r>
          </w:p>
        </w:tc>
        <w:tc>
          <w:tcPr>
            <w:tcW w:w="1166"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eastAsia="宋体" w:cs="宋体"/>
                <w:color w:val="auto"/>
                <w:kern w:val="0"/>
                <w:sz w:val="21"/>
                <w:szCs w:val="21"/>
                <w:highlight w:val="none"/>
                <w:lang w:val="en-US" w:eastAsia="zh-CN" w:bidi="ar-SA"/>
              </w:rPr>
            </w:pPr>
            <w:r>
              <w:rPr>
                <w:rFonts w:ascii="宋体" w:hAnsi="宋体" w:cs="宋体"/>
                <w:color w:val="auto"/>
                <w:kern w:val="0"/>
                <w:sz w:val="21"/>
                <w:szCs w:val="21"/>
                <w:highlight w:val="none"/>
              </w:rPr>
              <w:t>85.91</w:t>
            </w:r>
          </w:p>
        </w:tc>
        <w:tc>
          <w:tcPr>
            <w:tcW w:w="1120"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85.7</w:t>
            </w:r>
          </w:p>
        </w:tc>
        <w:tc>
          <w:tcPr>
            <w:tcW w:w="1074"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color w:val="auto"/>
                <w:kern w:val="0"/>
                <w:sz w:val="21"/>
                <w:szCs w:val="21"/>
                <w:highlight w:val="yellow"/>
              </w:rPr>
            </w:pPr>
            <w:r>
              <w:rPr>
                <w:rFonts w:ascii="宋体" w:hAnsi="宋体" w:cs="宋体"/>
                <w:color w:val="auto"/>
                <w:kern w:val="0"/>
                <w:sz w:val="21"/>
                <w:szCs w:val="21"/>
              </w:rPr>
              <w:t>86.38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0" w:hRule="atLeast"/>
          <w:jc w:val="center"/>
        </w:trPr>
        <w:tc>
          <w:tcPr>
            <w:tcW w:w="714"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8</w:t>
            </w:r>
          </w:p>
        </w:tc>
        <w:tc>
          <w:tcPr>
            <w:tcW w:w="4166"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专业教师总体学术水平、教学质量及教学效果</w:t>
            </w:r>
          </w:p>
        </w:tc>
        <w:tc>
          <w:tcPr>
            <w:tcW w:w="1166"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eastAsia="宋体" w:cs="宋体"/>
                <w:color w:val="auto"/>
                <w:kern w:val="0"/>
                <w:sz w:val="21"/>
                <w:szCs w:val="21"/>
                <w:highlight w:val="none"/>
                <w:lang w:val="en-US" w:eastAsia="zh-CN" w:bidi="ar-SA"/>
              </w:rPr>
            </w:pPr>
            <w:r>
              <w:rPr>
                <w:rFonts w:ascii="宋体" w:hAnsi="宋体" w:cs="宋体"/>
                <w:color w:val="auto"/>
                <w:kern w:val="0"/>
                <w:sz w:val="21"/>
                <w:szCs w:val="21"/>
                <w:highlight w:val="none"/>
              </w:rPr>
              <w:t>88.00</w:t>
            </w:r>
          </w:p>
        </w:tc>
        <w:tc>
          <w:tcPr>
            <w:tcW w:w="1120"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88.06</w:t>
            </w:r>
          </w:p>
        </w:tc>
        <w:tc>
          <w:tcPr>
            <w:tcW w:w="1074"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color w:val="auto"/>
                <w:kern w:val="0"/>
                <w:sz w:val="21"/>
                <w:szCs w:val="21"/>
                <w:highlight w:val="yellow"/>
              </w:rPr>
            </w:pPr>
            <w:r>
              <w:rPr>
                <w:rFonts w:ascii="宋体" w:hAnsi="宋体" w:cs="宋体"/>
                <w:color w:val="auto"/>
                <w:kern w:val="0"/>
                <w:sz w:val="21"/>
                <w:szCs w:val="21"/>
              </w:rPr>
              <w:t>87.97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0" w:hRule="atLeast"/>
          <w:jc w:val="center"/>
        </w:trPr>
        <w:tc>
          <w:tcPr>
            <w:tcW w:w="714"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9</w:t>
            </w:r>
          </w:p>
        </w:tc>
        <w:tc>
          <w:tcPr>
            <w:tcW w:w="4166"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专业人才培养目标和效果能适应社会需要</w:t>
            </w:r>
          </w:p>
        </w:tc>
        <w:tc>
          <w:tcPr>
            <w:tcW w:w="1166"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eastAsia="宋体" w:cs="宋体"/>
                <w:color w:val="auto"/>
                <w:kern w:val="0"/>
                <w:sz w:val="21"/>
                <w:szCs w:val="21"/>
                <w:highlight w:val="none"/>
                <w:lang w:val="en-US" w:eastAsia="zh-CN" w:bidi="ar-SA"/>
              </w:rPr>
            </w:pPr>
            <w:r>
              <w:rPr>
                <w:rFonts w:ascii="宋体" w:hAnsi="宋体" w:cs="宋体"/>
                <w:color w:val="auto"/>
                <w:kern w:val="0"/>
                <w:sz w:val="21"/>
                <w:szCs w:val="21"/>
                <w:highlight w:val="none"/>
              </w:rPr>
              <w:t>83.28</w:t>
            </w:r>
          </w:p>
        </w:tc>
        <w:tc>
          <w:tcPr>
            <w:tcW w:w="1120"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82.68</w:t>
            </w:r>
          </w:p>
        </w:tc>
        <w:tc>
          <w:tcPr>
            <w:tcW w:w="1074"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color w:val="auto"/>
                <w:kern w:val="0"/>
                <w:sz w:val="21"/>
                <w:szCs w:val="21"/>
                <w:highlight w:val="yellow"/>
              </w:rPr>
            </w:pPr>
            <w:r>
              <w:rPr>
                <w:rFonts w:ascii="宋体" w:hAnsi="宋体" w:cs="宋体"/>
                <w:color w:val="auto"/>
                <w:kern w:val="0"/>
                <w:sz w:val="21"/>
                <w:szCs w:val="21"/>
              </w:rPr>
              <w:t>83.82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0" w:hRule="atLeast"/>
          <w:jc w:val="center"/>
        </w:trPr>
        <w:tc>
          <w:tcPr>
            <w:tcW w:w="714"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10</w:t>
            </w:r>
          </w:p>
        </w:tc>
        <w:tc>
          <w:tcPr>
            <w:tcW w:w="4166"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专业知识掌握程度和实践能力</w:t>
            </w:r>
          </w:p>
        </w:tc>
        <w:tc>
          <w:tcPr>
            <w:tcW w:w="1166"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eastAsia="宋体" w:cs="宋体"/>
                <w:color w:val="auto"/>
                <w:kern w:val="0"/>
                <w:sz w:val="21"/>
                <w:szCs w:val="21"/>
                <w:highlight w:val="none"/>
                <w:lang w:val="en-US" w:eastAsia="zh-CN" w:bidi="ar-SA"/>
              </w:rPr>
            </w:pPr>
            <w:r>
              <w:rPr>
                <w:rFonts w:ascii="宋体" w:hAnsi="宋体" w:cs="宋体"/>
                <w:color w:val="auto"/>
                <w:kern w:val="0"/>
                <w:sz w:val="21"/>
                <w:szCs w:val="21"/>
                <w:highlight w:val="none"/>
              </w:rPr>
              <w:t>81.83</w:t>
            </w:r>
          </w:p>
        </w:tc>
        <w:tc>
          <w:tcPr>
            <w:tcW w:w="1120"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81.36</w:t>
            </w:r>
          </w:p>
        </w:tc>
        <w:tc>
          <w:tcPr>
            <w:tcW w:w="1074"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color w:val="auto"/>
                <w:kern w:val="0"/>
                <w:sz w:val="21"/>
                <w:szCs w:val="21"/>
                <w:highlight w:val="yellow"/>
              </w:rPr>
            </w:pPr>
            <w:r>
              <w:rPr>
                <w:rFonts w:ascii="宋体" w:hAnsi="宋体" w:cs="宋体"/>
                <w:color w:val="auto"/>
                <w:kern w:val="0"/>
                <w:sz w:val="21"/>
                <w:szCs w:val="21"/>
              </w:rPr>
              <w:t>81.25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0" w:hRule="atLeast"/>
          <w:jc w:val="center"/>
        </w:trPr>
        <w:tc>
          <w:tcPr>
            <w:tcW w:w="4880" w:type="dxa"/>
            <w:gridSpan w:val="2"/>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整体专业满意度</w:t>
            </w:r>
          </w:p>
        </w:tc>
        <w:tc>
          <w:tcPr>
            <w:tcW w:w="1166"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82.54</w:t>
            </w:r>
          </w:p>
        </w:tc>
        <w:tc>
          <w:tcPr>
            <w:tcW w:w="1120"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eastAsia="宋体" w:cs="宋体"/>
                <w:color w:val="auto"/>
                <w:kern w:val="0"/>
                <w:sz w:val="21"/>
                <w:szCs w:val="21"/>
                <w:highlight w:val="none"/>
                <w:lang w:val="en-US" w:eastAsia="zh-CN" w:bidi="ar-SA"/>
              </w:rPr>
            </w:pPr>
            <w:r>
              <w:rPr>
                <w:rFonts w:ascii="宋体" w:hAnsi="宋体" w:cs="宋体"/>
                <w:color w:val="auto"/>
                <w:kern w:val="0"/>
                <w:sz w:val="21"/>
                <w:szCs w:val="21"/>
                <w:highlight w:val="none"/>
              </w:rPr>
              <w:t>8</w:t>
            </w:r>
            <w:r>
              <w:rPr>
                <w:rFonts w:hint="eastAsia" w:ascii="宋体" w:hAnsi="宋体" w:cs="宋体"/>
                <w:color w:val="auto"/>
                <w:kern w:val="0"/>
                <w:sz w:val="21"/>
                <w:szCs w:val="21"/>
                <w:highlight w:val="none"/>
              </w:rPr>
              <w:t>3.15</w:t>
            </w:r>
          </w:p>
        </w:tc>
        <w:tc>
          <w:tcPr>
            <w:tcW w:w="1074" w:type="dxa"/>
            <w:shd w:val="clear" w:color="auto" w:fill="auto"/>
            <w:tcMar>
              <w:top w:w="15" w:type="dxa"/>
              <w:left w:w="15" w:type="dxa"/>
              <w:right w:w="15" w:type="dxa"/>
            </w:tcMar>
            <w:vAlign w:val="center"/>
          </w:tcPr>
          <w:p>
            <w:pPr>
              <w:autoSpaceDE w:val="0"/>
              <w:autoSpaceDN w:val="0"/>
              <w:adjustRightInd w:val="0"/>
              <w:snapToGrid w:val="0"/>
              <w:spacing w:line="240" w:lineRule="auto"/>
              <w:ind w:firstLine="0" w:firstLineChars="0"/>
              <w:jc w:val="center"/>
              <w:rPr>
                <w:rFonts w:ascii="宋体" w:hAnsi="宋体" w:eastAsia="宋体" w:cs="宋体"/>
                <w:color w:val="auto"/>
                <w:kern w:val="0"/>
                <w:sz w:val="21"/>
                <w:szCs w:val="21"/>
                <w:highlight w:val="yellow"/>
                <w:lang w:val="en-US" w:eastAsia="zh-CN" w:bidi="ar-SA"/>
              </w:rPr>
            </w:pPr>
            <w:r>
              <w:rPr>
                <w:rFonts w:ascii="宋体" w:hAnsi="宋体" w:cs="宋体"/>
                <w:b w:val="0"/>
                <w:bCs/>
                <w:color w:val="auto"/>
                <w:kern w:val="0"/>
                <w:sz w:val="21"/>
                <w:szCs w:val="21"/>
              </w:rPr>
              <w:t>84.56</w:t>
            </w:r>
          </w:p>
        </w:tc>
      </w:tr>
    </w:tbl>
    <w:p>
      <w:pPr>
        <w:ind w:firstLine="480"/>
        <w:rPr>
          <w:color w:val="auto"/>
          <w:highlight w:val="yellow"/>
        </w:rPr>
      </w:pPr>
    </w:p>
    <w:bookmarkEnd w:id="251"/>
    <w:p>
      <w:pPr>
        <w:pStyle w:val="3"/>
        <w:spacing w:before="156" w:after="156"/>
        <w:rPr>
          <w:rFonts w:ascii="黑体" w:hAnsi="黑体" w:eastAsia="黑体"/>
          <w:color w:val="auto"/>
          <w:sz w:val="28"/>
          <w:highlight w:val="none"/>
        </w:rPr>
      </w:pPr>
      <w:bookmarkStart w:id="257" w:name="_Toc23058"/>
      <w:bookmarkStart w:id="258" w:name="_Toc88218453"/>
      <w:bookmarkStart w:id="259" w:name="_Toc28527"/>
      <w:bookmarkStart w:id="260" w:name="_Toc89702832"/>
      <w:bookmarkStart w:id="261" w:name="_Toc7284"/>
      <w:bookmarkStart w:id="262" w:name="_Toc88219348"/>
      <w:r>
        <w:rPr>
          <w:rFonts w:hint="eastAsia" w:ascii="黑体" w:hAnsi="黑体" w:eastAsia="黑体"/>
          <w:color w:val="auto"/>
          <w:sz w:val="28"/>
          <w:highlight w:val="none"/>
          <w:lang w:eastAsia="zh-CN"/>
        </w:rPr>
        <w:t>（</w:t>
      </w:r>
      <w:r>
        <w:rPr>
          <w:rFonts w:hint="eastAsia" w:ascii="黑体" w:hAnsi="黑体" w:eastAsia="黑体"/>
          <w:color w:val="auto"/>
          <w:sz w:val="28"/>
          <w:highlight w:val="none"/>
          <w:lang w:val="en-US" w:eastAsia="zh-CN"/>
        </w:rPr>
        <w:t>二</w:t>
      </w:r>
      <w:r>
        <w:rPr>
          <w:rFonts w:hint="eastAsia" w:ascii="黑体" w:hAnsi="黑体" w:eastAsia="黑体"/>
          <w:color w:val="auto"/>
          <w:sz w:val="28"/>
          <w:highlight w:val="none"/>
          <w:lang w:eastAsia="zh-CN"/>
        </w:rPr>
        <w:t>）</w:t>
      </w:r>
      <w:r>
        <w:rPr>
          <w:rFonts w:hint="eastAsia" w:ascii="黑体" w:hAnsi="黑体" w:eastAsia="黑体"/>
          <w:color w:val="auto"/>
          <w:sz w:val="28"/>
          <w:highlight w:val="none"/>
        </w:rPr>
        <w:t>学生创新创业能力不断提升</w:t>
      </w:r>
      <w:bookmarkEnd w:id="257"/>
      <w:bookmarkEnd w:id="258"/>
      <w:bookmarkEnd w:id="259"/>
      <w:bookmarkEnd w:id="260"/>
      <w:bookmarkEnd w:id="261"/>
      <w:bookmarkEnd w:id="262"/>
    </w:p>
    <w:p>
      <w:pPr>
        <w:ind w:firstLine="480"/>
        <w:rPr>
          <w:rFonts w:hint="eastAsia" w:ascii="宋体" w:hAnsi="宋体" w:cs="宋体"/>
          <w:color w:val="auto"/>
          <w:highlight w:val="yellow"/>
        </w:rPr>
      </w:pPr>
      <w:r>
        <w:rPr>
          <w:rFonts w:hint="eastAsia" w:ascii="宋体" w:hAnsi="宋体" w:cs="宋体"/>
          <w:color w:val="auto"/>
          <w:highlight w:val="none"/>
        </w:rPr>
        <w:t>学校</w:t>
      </w:r>
      <w:r>
        <w:rPr>
          <w:rFonts w:hint="eastAsia" w:ascii="宋体" w:hAnsi="宋体" w:cs="宋体"/>
          <w:color w:val="auto"/>
          <w:highlight w:val="none"/>
          <w:lang w:val="en-US" w:eastAsia="zh-CN"/>
        </w:rPr>
        <w:t>现有</w:t>
      </w:r>
      <w:r>
        <w:rPr>
          <w:rFonts w:hint="eastAsia" w:ascii="宋体" w:hAnsi="宋体" w:cs="宋体"/>
          <w:color w:val="auto"/>
          <w:highlight w:val="none"/>
        </w:rPr>
        <w:t>创新创业教育实践基地（平台）</w:t>
      </w:r>
      <w:r>
        <w:rPr>
          <w:rFonts w:hint="eastAsia" w:ascii="宋体" w:hAnsi="宋体" w:cs="宋体"/>
          <w:color w:val="auto"/>
          <w:highlight w:val="none"/>
          <w:lang w:val="en-US" w:eastAsia="zh-CN"/>
        </w:rPr>
        <w:t>259</w:t>
      </w:r>
      <w:r>
        <w:rPr>
          <w:rFonts w:hint="eastAsia" w:ascii="宋体" w:hAnsi="宋体" w:cs="宋体"/>
          <w:color w:val="auto"/>
          <w:highlight w:val="none"/>
        </w:rPr>
        <w:t>个，其中创业示范基地</w:t>
      </w:r>
      <w:r>
        <w:rPr>
          <w:rFonts w:hint="eastAsia" w:ascii="宋体" w:hAnsi="宋体" w:cs="宋体"/>
          <w:color w:val="auto"/>
          <w:highlight w:val="none"/>
          <w:lang w:val="en-US" w:eastAsia="zh-CN"/>
        </w:rPr>
        <w:t>42</w:t>
      </w:r>
      <w:r>
        <w:rPr>
          <w:rFonts w:hint="eastAsia" w:ascii="宋体" w:hAnsi="宋体" w:cs="宋体"/>
          <w:color w:val="auto"/>
          <w:highlight w:val="none"/>
        </w:rPr>
        <w:t>个，高校实践育人创新创业基地</w:t>
      </w:r>
      <w:r>
        <w:rPr>
          <w:rFonts w:hint="eastAsia" w:ascii="宋体" w:hAnsi="宋体" w:cs="宋体"/>
          <w:color w:val="auto"/>
          <w:highlight w:val="none"/>
          <w:lang w:val="en-US" w:eastAsia="zh-CN"/>
        </w:rPr>
        <w:t>188</w:t>
      </w:r>
      <w:r>
        <w:rPr>
          <w:rFonts w:hint="eastAsia" w:ascii="宋体" w:hAnsi="宋体" w:cs="宋体"/>
          <w:color w:val="auto"/>
          <w:highlight w:val="none"/>
        </w:rPr>
        <w:t>个，大学生创业园</w:t>
      </w:r>
      <w:r>
        <w:rPr>
          <w:rFonts w:hint="eastAsia" w:ascii="宋体" w:hAnsi="宋体" w:cs="宋体"/>
          <w:color w:val="auto"/>
          <w:highlight w:val="none"/>
          <w:lang w:val="en-US" w:eastAsia="zh-CN"/>
        </w:rPr>
        <w:t>1</w:t>
      </w:r>
      <w:r>
        <w:rPr>
          <w:rFonts w:hint="eastAsia" w:ascii="宋体" w:hAnsi="宋体" w:cs="宋体"/>
          <w:color w:val="auto"/>
          <w:highlight w:val="none"/>
        </w:rPr>
        <w:t>个，众创空间</w:t>
      </w:r>
      <w:r>
        <w:rPr>
          <w:rFonts w:hint="eastAsia" w:ascii="宋体" w:hAnsi="宋体" w:cs="宋体"/>
          <w:color w:val="auto"/>
          <w:highlight w:val="none"/>
          <w:lang w:val="en-US" w:eastAsia="zh-CN"/>
        </w:rPr>
        <w:t>1</w:t>
      </w:r>
      <w:r>
        <w:rPr>
          <w:rFonts w:hint="eastAsia" w:ascii="宋体" w:hAnsi="宋体" w:cs="宋体"/>
          <w:color w:val="auto"/>
          <w:highlight w:val="none"/>
        </w:rPr>
        <w:t>个，科技园等</w:t>
      </w:r>
      <w:r>
        <w:rPr>
          <w:rFonts w:hint="eastAsia" w:ascii="宋体" w:hAnsi="宋体" w:cs="宋体"/>
          <w:color w:val="auto"/>
          <w:highlight w:val="none"/>
          <w:lang w:val="en-US" w:eastAsia="zh-CN"/>
        </w:rPr>
        <w:t>1</w:t>
      </w:r>
      <w:r>
        <w:rPr>
          <w:rFonts w:hint="eastAsia" w:ascii="宋体" w:hAnsi="宋体" w:cs="宋体"/>
          <w:color w:val="auto"/>
          <w:highlight w:val="none"/>
        </w:rPr>
        <w:t>个，其他</w:t>
      </w:r>
      <w:r>
        <w:rPr>
          <w:rFonts w:hint="eastAsia" w:ascii="宋体" w:hAnsi="宋体" w:cs="宋体"/>
          <w:color w:val="auto"/>
          <w:highlight w:val="none"/>
          <w:lang w:val="en-US" w:eastAsia="zh-CN"/>
        </w:rPr>
        <w:t>基地（平台）26</w:t>
      </w:r>
      <w:r>
        <w:rPr>
          <w:rFonts w:hint="eastAsia" w:ascii="宋体" w:hAnsi="宋体" w:cs="宋体"/>
          <w:color w:val="auto"/>
          <w:highlight w:val="none"/>
        </w:rPr>
        <w:t>个。拥有创新创业教育专职教师</w:t>
      </w:r>
      <w:r>
        <w:rPr>
          <w:rFonts w:hint="eastAsia" w:ascii="宋体" w:hAnsi="宋体" w:cs="宋体"/>
          <w:color w:val="auto"/>
          <w:highlight w:val="none"/>
          <w:lang w:val="en-US" w:eastAsia="zh-CN"/>
        </w:rPr>
        <w:t>3</w:t>
      </w:r>
      <w:r>
        <w:rPr>
          <w:rFonts w:hint="eastAsia" w:ascii="宋体" w:hAnsi="宋体" w:cs="宋体"/>
          <w:color w:val="auto"/>
          <w:highlight w:val="none"/>
        </w:rPr>
        <w:t>人，就业指导专职教师</w:t>
      </w:r>
      <w:r>
        <w:rPr>
          <w:rFonts w:hint="eastAsia" w:ascii="宋体" w:hAnsi="宋体" w:cs="宋体"/>
          <w:color w:val="auto"/>
          <w:highlight w:val="none"/>
          <w:lang w:val="en-US" w:eastAsia="zh-CN"/>
        </w:rPr>
        <w:t>52</w:t>
      </w:r>
      <w:r>
        <w:rPr>
          <w:rFonts w:hint="eastAsia" w:ascii="宋体" w:hAnsi="宋体" w:cs="宋体"/>
          <w:color w:val="auto"/>
          <w:highlight w:val="none"/>
        </w:rPr>
        <w:t>人，创新创业教育兼职导师</w:t>
      </w:r>
      <w:r>
        <w:rPr>
          <w:rFonts w:hint="eastAsia" w:ascii="宋体" w:hAnsi="宋体" w:cs="宋体"/>
          <w:color w:val="auto"/>
          <w:highlight w:val="none"/>
          <w:lang w:val="en-US" w:eastAsia="zh-CN"/>
        </w:rPr>
        <w:t>150</w:t>
      </w:r>
      <w:r>
        <w:rPr>
          <w:rFonts w:hint="eastAsia" w:ascii="宋体" w:hAnsi="宋体" w:cs="宋体"/>
          <w:color w:val="auto"/>
          <w:highlight w:val="none"/>
        </w:rPr>
        <w:t>人</w:t>
      </w:r>
      <w:r>
        <w:rPr>
          <w:rFonts w:hint="eastAsia" w:ascii="宋体" w:hAnsi="宋体" w:cs="宋体"/>
          <w:color w:val="auto"/>
          <w:highlight w:val="none"/>
          <w:lang w:eastAsia="zh-CN"/>
        </w:rPr>
        <w:t>。</w:t>
      </w:r>
    </w:p>
    <w:p>
      <w:pPr>
        <w:ind w:firstLine="480"/>
        <w:rPr>
          <w:rFonts w:ascii="宋体" w:hAnsi="宋体" w:cs="宋体"/>
          <w:color w:val="auto"/>
          <w:highlight w:val="yellow"/>
        </w:rPr>
      </w:pPr>
      <w:r>
        <w:rPr>
          <w:rFonts w:hint="eastAsia" w:ascii="宋体" w:hAnsi="宋体" w:cs="宋体"/>
          <w:color w:val="auto"/>
          <w:highlight w:val="none"/>
        </w:rPr>
        <w:t>20</w:t>
      </w:r>
      <w:r>
        <w:rPr>
          <w:rFonts w:ascii="宋体" w:hAnsi="宋体" w:cs="宋体"/>
          <w:color w:val="auto"/>
          <w:highlight w:val="none"/>
        </w:rPr>
        <w:t>2</w:t>
      </w:r>
      <w:r>
        <w:rPr>
          <w:rFonts w:hint="eastAsia" w:ascii="宋体" w:hAnsi="宋体" w:cs="宋体"/>
          <w:color w:val="auto"/>
          <w:highlight w:val="none"/>
          <w:lang w:val="en-US" w:eastAsia="zh-CN"/>
        </w:rPr>
        <w:t>2</w:t>
      </w:r>
      <w:r>
        <w:rPr>
          <w:rFonts w:hint="eastAsia" w:ascii="宋体" w:hAnsi="宋体" w:cs="宋体"/>
          <w:color w:val="auto"/>
          <w:highlight w:val="none"/>
        </w:rPr>
        <w:t>-202</w:t>
      </w:r>
      <w:r>
        <w:rPr>
          <w:rFonts w:hint="eastAsia" w:ascii="宋体" w:hAnsi="宋体" w:cs="宋体"/>
          <w:color w:val="auto"/>
          <w:highlight w:val="none"/>
          <w:lang w:val="en-US" w:eastAsia="zh-CN"/>
        </w:rPr>
        <w:t>3</w:t>
      </w:r>
      <w:r>
        <w:rPr>
          <w:rFonts w:hint="eastAsia" w:ascii="宋体" w:hAnsi="宋体" w:cs="宋体"/>
          <w:color w:val="auto"/>
          <w:highlight w:val="none"/>
        </w:rPr>
        <w:t>学年，我校本科生</w:t>
      </w:r>
      <w:r>
        <w:rPr>
          <w:rFonts w:ascii="宋体" w:hAnsi="宋体" w:cs="宋体"/>
          <w:color w:val="auto"/>
          <w:szCs w:val="24"/>
          <w:highlight w:val="none"/>
        </w:rPr>
        <w:t>参与创新创业训练项目</w:t>
      </w:r>
      <w:r>
        <w:rPr>
          <w:rFonts w:hint="eastAsia" w:ascii="宋体" w:hAnsi="宋体" w:cs="宋体"/>
          <w:color w:val="auto"/>
          <w:szCs w:val="24"/>
          <w:highlight w:val="none"/>
        </w:rPr>
        <w:t>的全日制本科生</w:t>
      </w:r>
      <w:r>
        <w:rPr>
          <w:rFonts w:hint="eastAsia" w:ascii="宋体" w:hAnsi="宋体" w:cs="宋体"/>
          <w:color w:val="auto"/>
          <w:szCs w:val="24"/>
          <w:highlight w:val="none"/>
          <w:lang w:val="en-US" w:eastAsia="zh-CN"/>
        </w:rPr>
        <w:t>5200</w:t>
      </w:r>
      <w:r>
        <w:rPr>
          <w:rFonts w:hint="eastAsia" w:ascii="宋体" w:hAnsi="宋体" w:cs="宋体"/>
          <w:color w:val="auto"/>
          <w:szCs w:val="24"/>
          <w:highlight w:val="none"/>
        </w:rPr>
        <w:t>人，参与创新创业竞赛全日制本科生</w:t>
      </w:r>
      <w:r>
        <w:rPr>
          <w:rFonts w:hint="eastAsia" w:ascii="宋体" w:hAnsi="宋体" w:cs="宋体"/>
          <w:color w:val="auto"/>
          <w:szCs w:val="24"/>
          <w:highlight w:val="none"/>
          <w:lang w:val="en-US" w:eastAsia="zh-CN"/>
        </w:rPr>
        <w:t>6300</w:t>
      </w:r>
      <w:r>
        <w:rPr>
          <w:rFonts w:hint="eastAsia" w:ascii="宋体" w:hAnsi="宋体" w:cs="宋体"/>
          <w:color w:val="auto"/>
          <w:szCs w:val="24"/>
          <w:highlight w:val="none"/>
        </w:rPr>
        <w:t>人</w:t>
      </w:r>
      <w:r>
        <w:rPr>
          <w:rFonts w:hint="eastAsia" w:ascii="宋体" w:hAnsi="宋体" w:cs="宋体"/>
          <w:color w:val="auto"/>
          <w:highlight w:val="none"/>
          <w:lang w:eastAsia="zh-CN"/>
        </w:rPr>
        <w:t>；</w:t>
      </w:r>
      <w:r>
        <w:rPr>
          <w:rFonts w:ascii="宋体" w:hAnsi="宋体" w:cs="宋体"/>
          <w:color w:val="auto"/>
          <w:szCs w:val="24"/>
          <w:highlight w:val="none"/>
        </w:rPr>
        <w:t>在校学生创业项目</w:t>
      </w:r>
      <w:r>
        <w:rPr>
          <w:rFonts w:hint="eastAsia" w:ascii="宋体" w:hAnsi="宋体" w:cs="宋体"/>
          <w:color w:val="auto"/>
          <w:szCs w:val="24"/>
          <w:highlight w:val="none"/>
          <w:lang w:val="en-US" w:eastAsia="zh-CN"/>
        </w:rPr>
        <w:t>800</w:t>
      </w:r>
      <w:r>
        <w:rPr>
          <w:rFonts w:hint="eastAsia" w:ascii="宋体" w:hAnsi="宋体" w:cs="宋体"/>
          <w:color w:val="auto"/>
          <w:szCs w:val="24"/>
          <w:highlight w:val="none"/>
        </w:rPr>
        <w:t>项，参与人数</w:t>
      </w:r>
      <w:r>
        <w:rPr>
          <w:rFonts w:hint="eastAsia" w:ascii="宋体" w:hAnsi="宋体" w:cs="宋体"/>
          <w:color w:val="auto"/>
          <w:szCs w:val="24"/>
          <w:highlight w:val="none"/>
          <w:lang w:val="en-US" w:eastAsia="zh-CN"/>
        </w:rPr>
        <w:t>8442</w:t>
      </w:r>
      <w:r>
        <w:rPr>
          <w:rFonts w:hint="eastAsia" w:ascii="宋体" w:hAnsi="宋体" w:cs="宋体"/>
          <w:color w:val="auto"/>
          <w:szCs w:val="24"/>
          <w:highlight w:val="none"/>
        </w:rPr>
        <w:t>人，获得资助</w:t>
      </w:r>
      <w:r>
        <w:rPr>
          <w:rFonts w:hint="eastAsia" w:ascii="宋体" w:hAnsi="宋体" w:cs="宋体"/>
          <w:color w:val="auto"/>
          <w:szCs w:val="24"/>
          <w:highlight w:val="none"/>
          <w:lang w:val="en-US" w:eastAsia="zh-CN"/>
        </w:rPr>
        <w:t>200</w:t>
      </w:r>
      <w:r>
        <w:rPr>
          <w:rFonts w:hint="eastAsia" w:ascii="宋体" w:hAnsi="宋体" w:cs="宋体"/>
          <w:color w:val="auto"/>
          <w:szCs w:val="24"/>
          <w:highlight w:val="none"/>
        </w:rPr>
        <w:t>万元，</w:t>
      </w:r>
      <w:r>
        <w:rPr>
          <w:rFonts w:hint="eastAsia" w:ascii="宋体" w:hAnsi="宋体" w:cs="宋体"/>
          <w:color w:val="auto"/>
          <w:szCs w:val="24"/>
          <w:highlight w:val="none"/>
          <w:lang w:val="en-US" w:eastAsia="zh-CN"/>
        </w:rPr>
        <w:t>较上一年大幅增加；</w:t>
      </w:r>
      <w:r>
        <w:rPr>
          <w:rFonts w:hint="eastAsia" w:ascii="宋体" w:hAnsi="宋体" w:cs="宋体"/>
          <w:color w:val="auto"/>
          <w:szCs w:val="24"/>
          <w:highlight w:val="none"/>
        </w:rPr>
        <w:t>在</w:t>
      </w:r>
      <w:r>
        <w:rPr>
          <w:rFonts w:hint="eastAsia" w:ascii="宋体" w:hAnsi="宋体" w:cs="宋体"/>
          <w:color w:val="auto"/>
          <w:highlight w:val="none"/>
        </w:rPr>
        <w:t>各级各类学科竞赛中，共获得省级、国家级奖项</w:t>
      </w:r>
      <w:r>
        <w:rPr>
          <w:rFonts w:hint="eastAsia" w:ascii="宋体" w:hAnsi="宋体" w:cs="宋体"/>
          <w:color w:val="auto"/>
          <w:highlight w:val="none"/>
          <w:lang w:val="en-US" w:eastAsia="zh-CN"/>
        </w:rPr>
        <w:t>883</w:t>
      </w:r>
      <w:r>
        <w:rPr>
          <w:rFonts w:hint="eastAsia" w:ascii="宋体" w:hAnsi="宋体" w:cs="宋体"/>
          <w:color w:val="auto"/>
          <w:highlight w:val="none"/>
        </w:rPr>
        <w:t>项（见表</w:t>
      </w:r>
      <w:r>
        <w:rPr>
          <w:rFonts w:hint="eastAsia" w:ascii="宋体" w:hAnsi="宋体" w:cs="宋体"/>
          <w:color w:val="auto"/>
          <w:highlight w:val="none"/>
          <w:lang w:val="en-US" w:eastAsia="zh-CN"/>
        </w:rPr>
        <w:t>10</w:t>
      </w:r>
      <w:r>
        <w:rPr>
          <w:rFonts w:hint="eastAsia" w:ascii="宋体" w:hAnsi="宋体" w:cs="宋体"/>
          <w:color w:val="auto"/>
          <w:highlight w:val="none"/>
        </w:rPr>
        <w:t>），创新创业能力不断提升。202</w:t>
      </w:r>
      <w:r>
        <w:rPr>
          <w:rFonts w:hint="eastAsia" w:ascii="宋体" w:hAnsi="宋体" w:cs="宋体"/>
          <w:color w:val="auto"/>
          <w:highlight w:val="none"/>
          <w:lang w:val="en-US" w:eastAsia="zh-CN"/>
        </w:rPr>
        <w:t>2</w:t>
      </w:r>
      <w:r>
        <w:rPr>
          <w:rFonts w:hint="eastAsia" w:ascii="宋体" w:hAnsi="宋体" w:cs="宋体"/>
          <w:color w:val="auto"/>
          <w:highlight w:val="none"/>
        </w:rPr>
        <w:t>-202</w:t>
      </w:r>
      <w:r>
        <w:rPr>
          <w:rFonts w:hint="eastAsia" w:ascii="宋体" w:hAnsi="宋体" w:cs="宋体"/>
          <w:color w:val="auto"/>
          <w:highlight w:val="none"/>
          <w:lang w:val="en-US" w:eastAsia="zh-CN"/>
        </w:rPr>
        <w:t>3</w:t>
      </w:r>
      <w:r>
        <w:rPr>
          <w:rFonts w:hint="eastAsia" w:ascii="宋体" w:hAnsi="宋体" w:cs="宋体"/>
          <w:color w:val="auto"/>
          <w:highlight w:val="none"/>
        </w:rPr>
        <w:t>学年本科生共发表论文</w:t>
      </w:r>
      <w:r>
        <w:rPr>
          <w:rFonts w:hint="eastAsia" w:ascii="宋体" w:hAnsi="宋体" w:cs="宋体"/>
          <w:color w:val="auto"/>
          <w:highlight w:val="none"/>
          <w:lang w:val="en-US" w:eastAsia="zh-CN"/>
        </w:rPr>
        <w:t>203</w:t>
      </w:r>
      <w:r>
        <w:rPr>
          <w:rFonts w:hint="eastAsia" w:ascii="宋体" w:hAnsi="宋体" w:cs="宋体"/>
          <w:color w:val="auto"/>
          <w:highlight w:val="none"/>
        </w:rPr>
        <w:t>篇，</w:t>
      </w:r>
      <w:r>
        <w:rPr>
          <w:rFonts w:hint="eastAsia" w:ascii="宋体" w:hAnsi="宋体" w:cs="宋体"/>
          <w:color w:val="auto"/>
          <w:highlight w:val="none"/>
          <w:lang w:val="en-US" w:eastAsia="zh-CN"/>
        </w:rPr>
        <w:t>以第一发明人</w:t>
      </w:r>
      <w:r>
        <w:rPr>
          <w:rFonts w:hint="eastAsia" w:ascii="宋体" w:hAnsi="宋体" w:cs="宋体"/>
          <w:color w:val="auto"/>
          <w:highlight w:val="none"/>
        </w:rPr>
        <w:t>申请各类专利</w:t>
      </w:r>
      <w:r>
        <w:rPr>
          <w:rFonts w:hint="eastAsia" w:ascii="宋体" w:hAnsi="宋体" w:cs="宋体"/>
          <w:color w:val="auto"/>
          <w:highlight w:val="none"/>
          <w:lang w:val="en-US" w:eastAsia="zh-CN"/>
        </w:rPr>
        <w:t>115</w:t>
      </w:r>
      <w:r>
        <w:rPr>
          <w:rFonts w:hint="eastAsia" w:ascii="宋体" w:hAnsi="宋体" w:cs="宋体"/>
          <w:color w:val="auto"/>
          <w:highlight w:val="none"/>
        </w:rPr>
        <w:t>项（见表1</w:t>
      </w:r>
      <w:r>
        <w:rPr>
          <w:rFonts w:hint="eastAsia" w:ascii="宋体" w:hAnsi="宋体" w:cs="宋体"/>
          <w:color w:val="auto"/>
          <w:highlight w:val="none"/>
          <w:lang w:val="en-US" w:eastAsia="zh-CN"/>
        </w:rPr>
        <w:t>1</w:t>
      </w:r>
      <w:r>
        <w:rPr>
          <w:rFonts w:hint="eastAsia" w:ascii="宋体" w:hAnsi="宋体" w:cs="宋体"/>
          <w:color w:val="auto"/>
          <w:highlight w:val="none"/>
        </w:rPr>
        <w:t>）。</w:t>
      </w:r>
    </w:p>
    <w:p>
      <w:pPr>
        <w:pStyle w:val="6"/>
        <w:spacing w:before="156" w:beforeLines="50" w:after="156" w:afterLines="50" w:line="240" w:lineRule="auto"/>
        <w:ind w:firstLine="0" w:firstLineChars="0"/>
        <w:jc w:val="center"/>
        <w:rPr>
          <w:rFonts w:hint="eastAsia" w:ascii="宋体" w:hAnsi="宋体" w:eastAsia="宋体" w:cs="宋体"/>
          <w:color w:val="auto"/>
          <w:sz w:val="21"/>
          <w:szCs w:val="21"/>
          <w:highlight w:val="none"/>
        </w:rPr>
      </w:pPr>
      <w:bookmarkStart w:id="263" w:name="_Toc88218487"/>
      <w:r>
        <w:rPr>
          <w:rFonts w:hint="eastAsia" w:ascii="宋体" w:hAnsi="宋体" w:eastAsia="宋体" w:cs="宋体"/>
          <w:color w:val="auto"/>
          <w:sz w:val="21"/>
          <w:szCs w:val="21"/>
          <w:highlight w:val="none"/>
        </w:rPr>
        <w:t>表</w:t>
      </w:r>
      <w:bookmarkStart w:id="264" w:name="_Toc22314"/>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 xml:space="preserve"> 学校本科学生参加学科竞赛获奖情况</w:t>
      </w:r>
      <w:bookmarkEnd w:id="263"/>
      <w:bookmarkEnd w:id="264"/>
    </w:p>
    <w:tbl>
      <w:tblPr>
        <w:tblStyle w:val="18"/>
        <w:tblW w:w="806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199"/>
        <w:gridCol w:w="1466"/>
        <w:gridCol w:w="1465"/>
        <w:gridCol w:w="1465"/>
        <w:gridCol w:w="14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701" w:type="dxa"/>
            <w:tcBorders>
              <w:top w:val="single" w:color="auto" w:sz="8" w:space="0"/>
            </w:tcBorders>
            <w:shd w:val="clear" w:color="auto" w:fill="auto"/>
            <w:noWrap/>
            <w:vAlign w:val="center"/>
          </w:tcPr>
          <w:p>
            <w:pPr>
              <w:widowControl/>
              <w:adjustRightInd w:val="0"/>
              <w:snapToGrid w:val="0"/>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sz w:val="21"/>
                <w:szCs w:val="21"/>
                <w:highlight w:val="none"/>
              </w:rPr>
              <w:t>学年</w:t>
            </w:r>
          </w:p>
        </w:tc>
        <w:tc>
          <w:tcPr>
            <w:tcW w:w="1134" w:type="dxa"/>
            <w:tcBorders>
              <w:top w:val="single" w:color="auto" w:sz="8" w:space="0"/>
            </w:tcBorders>
            <w:shd w:val="clear" w:color="auto" w:fill="auto"/>
            <w:noWrap/>
            <w:vAlign w:val="center"/>
          </w:tcPr>
          <w:p>
            <w:pPr>
              <w:widowControl/>
              <w:adjustRightInd w:val="0"/>
              <w:snapToGrid w:val="0"/>
              <w:ind w:firstLine="0" w:firstLineChars="0"/>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国际级</w:t>
            </w:r>
          </w:p>
        </w:tc>
        <w:tc>
          <w:tcPr>
            <w:tcW w:w="1134" w:type="dxa"/>
            <w:tcBorders>
              <w:top w:val="single" w:color="auto" w:sz="8" w:space="0"/>
            </w:tcBorders>
            <w:shd w:val="clear" w:color="auto" w:fill="auto"/>
            <w:noWrap/>
            <w:vAlign w:val="center"/>
          </w:tcPr>
          <w:p>
            <w:pPr>
              <w:widowControl/>
              <w:adjustRightInd w:val="0"/>
              <w:snapToGrid w:val="0"/>
              <w:ind w:firstLine="0" w:firstLineChars="0"/>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国家级</w:t>
            </w:r>
          </w:p>
        </w:tc>
        <w:tc>
          <w:tcPr>
            <w:tcW w:w="1134" w:type="dxa"/>
            <w:tcBorders>
              <w:top w:val="single" w:color="auto" w:sz="8" w:space="0"/>
            </w:tcBorders>
            <w:shd w:val="clear" w:color="auto" w:fill="auto"/>
            <w:noWrap/>
            <w:vAlign w:val="center"/>
          </w:tcPr>
          <w:p>
            <w:pPr>
              <w:widowControl/>
              <w:adjustRightInd w:val="0"/>
              <w:snapToGrid w:val="0"/>
              <w:ind w:firstLine="0" w:firstLineChars="0"/>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省部级</w:t>
            </w:r>
          </w:p>
        </w:tc>
        <w:tc>
          <w:tcPr>
            <w:tcW w:w="1134" w:type="dxa"/>
            <w:tcBorders>
              <w:top w:val="single" w:color="auto" w:sz="8" w:space="0"/>
            </w:tcBorders>
            <w:shd w:val="clear" w:color="auto" w:fill="auto"/>
            <w:noWrap/>
            <w:vAlign w:val="center"/>
          </w:tcPr>
          <w:p>
            <w:pPr>
              <w:widowControl/>
              <w:adjustRightInd w:val="0"/>
              <w:snapToGrid w:val="0"/>
              <w:ind w:firstLine="0" w:firstLineChars="0"/>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总数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701" w:type="dxa"/>
            <w:tcBorders>
              <w:bottom w:val="single" w:color="auto" w:sz="8" w:space="0"/>
            </w:tcBorders>
            <w:shd w:val="clear" w:color="auto" w:fill="auto"/>
            <w:noWrap/>
            <w:vAlign w:val="center"/>
          </w:tcPr>
          <w:p>
            <w:pPr>
              <w:widowControl/>
              <w:adjustRightInd w:val="0"/>
              <w:snapToGrid w:val="0"/>
              <w:ind w:firstLine="0" w:firstLineChars="0"/>
              <w:jc w:val="center"/>
              <w:rPr>
                <w:rFonts w:ascii="宋体" w:hAnsi="宋体" w:cs="宋体"/>
                <w:color w:val="auto"/>
                <w:kern w:val="0"/>
                <w:sz w:val="21"/>
                <w:szCs w:val="21"/>
                <w:highlight w:val="none"/>
              </w:rPr>
            </w:pPr>
            <w:r>
              <w:rPr>
                <w:rFonts w:hint="eastAsia" w:ascii="宋体" w:hAnsi="宋体" w:cs="宋体"/>
                <w:b/>
                <w:bCs/>
                <w:color w:val="auto"/>
                <w:kern w:val="0"/>
                <w:sz w:val="21"/>
                <w:szCs w:val="21"/>
                <w:highlight w:val="none"/>
              </w:rPr>
              <w:t>20</w:t>
            </w:r>
            <w:r>
              <w:rPr>
                <w:rFonts w:ascii="宋体" w:hAnsi="宋体" w:cs="宋体"/>
                <w:b/>
                <w:bCs/>
                <w:color w:val="auto"/>
                <w:kern w:val="0"/>
                <w:sz w:val="21"/>
                <w:szCs w:val="21"/>
                <w:highlight w:val="none"/>
              </w:rPr>
              <w:t>2</w:t>
            </w:r>
            <w:r>
              <w:rPr>
                <w:rFonts w:hint="eastAsia" w:ascii="宋体" w:hAnsi="宋体" w:cs="宋体"/>
                <w:b/>
                <w:bCs/>
                <w:color w:val="auto"/>
                <w:kern w:val="0"/>
                <w:sz w:val="21"/>
                <w:szCs w:val="21"/>
                <w:highlight w:val="none"/>
                <w:lang w:val="en-US" w:eastAsia="zh-CN"/>
              </w:rPr>
              <w:t>2</w:t>
            </w:r>
            <w:r>
              <w:rPr>
                <w:rFonts w:hint="eastAsia" w:ascii="宋体" w:hAnsi="宋体" w:cs="宋体"/>
                <w:b/>
                <w:bCs/>
                <w:color w:val="auto"/>
                <w:kern w:val="0"/>
                <w:sz w:val="21"/>
                <w:szCs w:val="21"/>
                <w:highlight w:val="none"/>
              </w:rPr>
              <w:t>-202</w:t>
            </w:r>
            <w:r>
              <w:rPr>
                <w:rFonts w:hint="eastAsia" w:ascii="宋体" w:hAnsi="宋体" w:cs="宋体"/>
                <w:b/>
                <w:bCs/>
                <w:color w:val="auto"/>
                <w:kern w:val="0"/>
                <w:sz w:val="21"/>
                <w:szCs w:val="21"/>
                <w:highlight w:val="none"/>
                <w:lang w:val="en-US" w:eastAsia="zh-CN"/>
              </w:rPr>
              <w:t>3</w:t>
            </w:r>
            <w:r>
              <w:rPr>
                <w:rFonts w:hint="eastAsia" w:ascii="宋体" w:hAnsi="宋体" w:cs="宋体"/>
                <w:b/>
                <w:bCs/>
                <w:color w:val="auto"/>
                <w:kern w:val="0"/>
                <w:sz w:val="21"/>
                <w:szCs w:val="21"/>
                <w:highlight w:val="none"/>
              </w:rPr>
              <w:t>学年</w:t>
            </w:r>
          </w:p>
        </w:tc>
        <w:tc>
          <w:tcPr>
            <w:tcW w:w="1134" w:type="dxa"/>
            <w:tcBorders>
              <w:bottom w:val="single" w:color="auto" w:sz="8" w:space="0"/>
            </w:tcBorders>
            <w:shd w:val="clear" w:color="auto" w:fill="auto"/>
            <w:noWrap/>
            <w:vAlign w:val="center"/>
          </w:tcPr>
          <w:p>
            <w:pPr>
              <w:widowControl/>
              <w:adjustRightInd w:val="0"/>
              <w:snapToGrid w:val="0"/>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177</w:t>
            </w:r>
          </w:p>
        </w:tc>
        <w:tc>
          <w:tcPr>
            <w:tcW w:w="1134" w:type="dxa"/>
            <w:tcBorders>
              <w:bottom w:val="single" w:color="auto" w:sz="8" w:space="0"/>
            </w:tcBorders>
            <w:shd w:val="clear" w:color="auto" w:fill="auto"/>
            <w:noWrap/>
            <w:vAlign w:val="center"/>
          </w:tcPr>
          <w:p>
            <w:pPr>
              <w:widowControl/>
              <w:adjustRightInd w:val="0"/>
              <w:snapToGrid w:val="0"/>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252</w:t>
            </w:r>
          </w:p>
        </w:tc>
        <w:tc>
          <w:tcPr>
            <w:tcW w:w="1134" w:type="dxa"/>
            <w:tcBorders>
              <w:bottom w:val="single" w:color="auto" w:sz="8" w:space="0"/>
            </w:tcBorders>
            <w:shd w:val="clear" w:color="auto" w:fill="auto"/>
            <w:noWrap/>
            <w:vAlign w:val="center"/>
          </w:tcPr>
          <w:p>
            <w:pPr>
              <w:widowControl/>
              <w:adjustRightInd w:val="0"/>
              <w:snapToGrid w:val="0"/>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464</w:t>
            </w:r>
          </w:p>
        </w:tc>
        <w:tc>
          <w:tcPr>
            <w:tcW w:w="1134" w:type="dxa"/>
            <w:tcBorders>
              <w:bottom w:val="single" w:color="auto" w:sz="8" w:space="0"/>
            </w:tcBorders>
            <w:shd w:val="clear" w:color="auto" w:fill="auto"/>
            <w:noWrap/>
            <w:vAlign w:val="center"/>
          </w:tcPr>
          <w:p>
            <w:pPr>
              <w:widowControl/>
              <w:adjustRightInd w:val="0"/>
              <w:snapToGrid w:val="0"/>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883</w:t>
            </w:r>
          </w:p>
        </w:tc>
      </w:tr>
    </w:tbl>
    <w:p>
      <w:pPr>
        <w:pStyle w:val="6"/>
        <w:spacing w:before="312" w:beforeLines="100" w:after="156" w:afterLines="50" w:line="240" w:lineRule="auto"/>
        <w:ind w:firstLine="0" w:firstLineChars="0"/>
        <w:jc w:val="center"/>
        <w:rPr>
          <w:rFonts w:ascii="宋体" w:hAnsi="宋体" w:eastAsia="宋体" w:cs="宋体"/>
          <w:color w:val="auto"/>
          <w:sz w:val="21"/>
          <w:szCs w:val="21"/>
          <w:highlight w:val="none"/>
        </w:rPr>
      </w:pPr>
      <w:bookmarkStart w:id="265" w:name="_Toc88218488"/>
      <w:r>
        <w:rPr>
          <w:rFonts w:hint="eastAsia" w:ascii="宋体" w:hAnsi="宋体" w:eastAsia="宋体" w:cs="宋体"/>
          <w:color w:val="auto"/>
          <w:sz w:val="21"/>
          <w:szCs w:val="21"/>
          <w:highlight w:val="none"/>
        </w:rPr>
        <w:t>表</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SEQ 表 \* ARABIC</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fldChar w:fldCharType="end"/>
      </w:r>
      <w:bookmarkStart w:id="266" w:name="_Toc22818"/>
      <w:r>
        <w:rPr>
          <w:rFonts w:hint="eastAsia" w:ascii="宋体" w:hAnsi="宋体" w:eastAsia="宋体" w:cs="宋体"/>
          <w:color w:val="auto"/>
          <w:sz w:val="21"/>
          <w:szCs w:val="21"/>
          <w:highlight w:val="none"/>
        </w:rPr>
        <w:t xml:space="preserve"> 学校本科学生第一作者发表论文和获得专利情况</w:t>
      </w:r>
      <w:bookmarkEnd w:id="265"/>
      <w:bookmarkEnd w:id="266"/>
    </w:p>
    <w:tbl>
      <w:tblPr>
        <w:tblStyle w:val="18"/>
        <w:tblW w:w="806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14"/>
        <w:gridCol w:w="1443"/>
        <w:gridCol w:w="440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2228" w:type="dxa"/>
            <w:tcBorders>
              <w:top w:val="single" w:color="auto" w:sz="8" w:space="0"/>
              <w:bottom w:val="single" w:color="auto" w:sz="8" w:space="0"/>
            </w:tcBorders>
            <w:noWrap/>
            <w:vAlign w:val="center"/>
          </w:tcPr>
          <w:p>
            <w:pPr>
              <w:widowControl/>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sz w:val="21"/>
                <w:szCs w:val="21"/>
                <w:highlight w:val="none"/>
              </w:rPr>
              <w:t>学年</w:t>
            </w:r>
          </w:p>
        </w:tc>
        <w:tc>
          <w:tcPr>
            <w:tcW w:w="1452" w:type="dxa"/>
            <w:tcBorders>
              <w:top w:val="single" w:color="auto" w:sz="8" w:space="0"/>
              <w:bottom w:val="single" w:color="auto" w:sz="8" w:space="0"/>
            </w:tcBorders>
            <w:noWrap/>
            <w:vAlign w:val="center"/>
          </w:tcPr>
          <w:p>
            <w:pPr>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发表论文</w:t>
            </w:r>
          </w:p>
        </w:tc>
        <w:tc>
          <w:tcPr>
            <w:tcW w:w="4436" w:type="dxa"/>
            <w:tcBorders>
              <w:top w:val="single" w:color="auto" w:sz="8" w:space="0"/>
              <w:bottom w:val="single" w:color="auto" w:sz="8" w:space="0"/>
            </w:tcBorders>
            <w:noWrap/>
            <w:vAlign w:val="center"/>
          </w:tcPr>
          <w:p>
            <w:pPr>
              <w:widowControl/>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专利（发明、实用新型、外观设计、软著等）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2228" w:type="dxa"/>
            <w:tcBorders>
              <w:top w:val="single" w:color="auto" w:sz="8" w:space="0"/>
              <w:bottom w:val="single" w:color="auto" w:sz="8" w:space="0"/>
            </w:tcBorders>
            <w:noWrap/>
            <w:vAlign w:val="center"/>
          </w:tcPr>
          <w:p>
            <w:pPr>
              <w:widowControl/>
              <w:ind w:firstLine="0" w:firstLineChars="0"/>
              <w:jc w:val="center"/>
              <w:rPr>
                <w:rFonts w:ascii="宋体" w:hAnsi="宋体" w:cs="宋体"/>
                <w:color w:val="auto"/>
                <w:kern w:val="0"/>
                <w:sz w:val="21"/>
                <w:szCs w:val="21"/>
                <w:highlight w:val="none"/>
              </w:rPr>
            </w:pPr>
            <w:r>
              <w:rPr>
                <w:rFonts w:hint="eastAsia" w:ascii="宋体" w:hAnsi="宋体" w:cs="宋体"/>
                <w:b/>
                <w:bCs/>
                <w:color w:val="auto"/>
                <w:kern w:val="0"/>
                <w:sz w:val="21"/>
                <w:szCs w:val="21"/>
                <w:highlight w:val="none"/>
              </w:rPr>
              <w:t>202</w:t>
            </w:r>
            <w:r>
              <w:rPr>
                <w:rFonts w:hint="eastAsia" w:ascii="宋体" w:hAnsi="宋体" w:cs="宋体"/>
                <w:b/>
                <w:bCs/>
                <w:color w:val="auto"/>
                <w:kern w:val="0"/>
                <w:sz w:val="21"/>
                <w:szCs w:val="21"/>
                <w:highlight w:val="none"/>
                <w:lang w:val="en-US" w:eastAsia="zh-CN"/>
              </w:rPr>
              <w:t>2</w:t>
            </w:r>
            <w:r>
              <w:rPr>
                <w:rFonts w:hint="eastAsia" w:ascii="宋体" w:hAnsi="宋体" w:cs="宋体"/>
                <w:b/>
                <w:bCs/>
                <w:color w:val="auto"/>
                <w:kern w:val="0"/>
                <w:sz w:val="21"/>
                <w:szCs w:val="21"/>
                <w:highlight w:val="none"/>
              </w:rPr>
              <w:t>-202</w:t>
            </w:r>
            <w:r>
              <w:rPr>
                <w:rFonts w:hint="eastAsia" w:ascii="宋体" w:hAnsi="宋体" w:cs="宋体"/>
                <w:b/>
                <w:bCs/>
                <w:color w:val="auto"/>
                <w:kern w:val="0"/>
                <w:sz w:val="21"/>
                <w:szCs w:val="21"/>
                <w:highlight w:val="none"/>
                <w:lang w:val="en-US" w:eastAsia="zh-CN"/>
              </w:rPr>
              <w:t>3</w:t>
            </w:r>
            <w:r>
              <w:rPr>
                <w:rFonts w:hint="eastAsia" w:ascii="宋体" w:hAnsi="宋体" w:cs="宋体"/>
                <w:b/>
                <w:bCs/>
                <w:color w:val="auto"/>
                <w:kern w:val="0"/>
                <w:sz w:val="21"/>
                <w:szCs w:val="21"/>
                <w:highlight w:val="none"/>
              </w:rPr>
              <w:t>学年</w:t>
            </w:r>
          </w:p>
        </w:tc>
        <w:tc>
          <w:tcPr>
            <w:tcW w:w="1452" w:type="dxa"/>
            <w:tcBorders>
              <w:top w:val="single" w:color="auto" w:sz="8" w:space="0"/>
              <w:bottom w:val="single" w:color="auto" w:sz="8" w:space="0"/>
            </w:tcBorders>
            <w:noWrap/>
            <w:vAlign w:val="center"/>
          </w:tcPr>
          <w:p>
            <w:pPr>
              <w:widowControl/>
              <w:ind w:firstLine="0" w:firstLineChars="0"/>
              <w:jc w:val="center"/>
              <w:rPr>
                <w:rFonts w:hint="default" w:ascii="宋体" w:hAnsi="宋体" w:eastAsia="宋体" w:cs="宋体"/>
                <w:bCs/>
                <w:color w:val="auto"/>
                <w:kern w:val="0"/>
                <w:sz w:val="21"/>
                <w:szCs w:val="21"/>
                <w:highlight w:val="none"/>
                <w:lang w:val="en-US" w:eastAsia="zh-CN"/>
              </w:rPr>
            </w:pPr>
            <w:r>
              <w:rPr>
                <w:rFonts w:hint="eastAsia" w:ascii="宋体" w:hAnsi="宋体" w:cs="宋体"/>
                <w:bCs/>
                <w:color w:val="auto"/>
                <w:kern w:val="0"/>
                <w:sz w:val="21"/>
                <w:szCs w:val="21"/>
                <w:highlight w:val="none"/>
                <w:lang w:val="en-US" w:eastAsia="zh-CN"/>
              </w:rPr>
              <w:t>203</w:t>
            </w:r>
          </w:p>
        </w:tc>
        <w:tc>
          <w:tcPr>
            <w:tcW w:w="4436" w:type="dxa"/>
            <w:tcBorders>
              <w:top w:val="single" w:color="auto" w:sz="8" w:space="0"/>
              <w:bottom w:val="single" w:color="auto" w:sz="8" w:space="0"/>
            </w:tcBorders>
            <w:noWrap/>
            <w:vAlign w:val="center"/>
          </w:tcPr>
          <w:p>
            <w:pPr>
              <w:widowControl/>
              <w:ind w:firstLine="0" w:firstLineChars="0"/>
              <w:jc w:val="center"/>
              <w:rPr>
                <w:rFonts w:hint="default" w:ascii="宋体" w:hAnsi="宋体" w:eastAsia="宋体" w:cs="宋体"/>
                <w:bCs/>
                <w:color w:val="auto"/>
                <w:kern w:val="0"/>
                <w:sz w:val="21"/>
                <w:szCs w:val="21"/>
                <w:highlight w:val="none"/>
                <w:lang w:val="en-US" w:eastAsia="zh-CN"/>
              </w:rPr>
            </w:pPr>
            <w:r>
              <w:rPr>
                <w:rFonts w:hint="eastAsia" w:ascii="宋体" w:hAnsi="宋体" w:cs="宋体"/>
                <w:bCs/>
                <w:color w:val="auto"/>
                <w:kern w:val="0"/>
                <w:sz w:val="21"/>
                <w:szCs w:val="21"/>
                <w:highlight w:val="none"/>
                <w:lang w:val="en-US" w:eastAsia="zh-CN"/>
              </w:rPr>
              <w:t>115</w:t>
            </w:r>
          </w:p>
        </w:tc>
      </w:tr>
    </w:tbl>
    <w:p>
      <w:pPr>
        <w:pStyle w:val="3"/>
        <w:spacing w:before="156" w:after="156"/>
        <w:rPr>
          <w:rFonts w:ascii="黑体" w:hAnsi="黑体" w:eastAsia="黑体"/>
          <w:color w:val="auto"/>
          <w:sz w:val="28"/>
        </w:rPr>
      </w:pPr>
      <w:bookmarkStart w:id="267" w:name="_Toc5828"/>
      <w:bookmarkStart w:id="268" w:name="_Toc88218454"/>
      <w:bookmarkStart w:id="269" w:name="_Toc29418"/>
      <w:bookmarkStart w:id="270" w:name="_Toc88219349"/>
      <w:bookmarkStart w:id="271" w:name="_Toc13437"/>
      <w:bookmarkStart w:id="272" w:name="_Toc89702833"/>
      <w:r>
        <w:rPr>
          <w:rFonts w:hint="eastAsia" w:ascii="黑体" w:hAnsi="黑体" w:eastAsia="黑体"/>
          <w:color w:val="auto"/>
          <w:sz w:val="28"/>
          <w:lang w:eastAsia="zh-CN"/>
        </w:rPr>
        <w:t>（</w:t>
      </w:r>
      <w:r>
        <w:rPr>
          <w:rFonts w:hint="eastAsia" w:ascii="黑体" w:hAnsi="黑体" w:eastAsia="黑体"/>
          <w:color w:val="auto"/>
          <w:sz w:val="28"/>
          <w:lang w:val="en-US" w:eastAsia="zh-CN"/>
        </w:rPr>
        <w:t>三</w:t>
      </w:r>
      <w:r>
        <w:rPr>
          <w:rFonts w:hint="eastAsia" w:ascii="黑体" w:hAnsi="黑体" w:eastAsia="黑体"/>
          <w:color w:val="auto"/>
          <w:sz w:val="28"/>
          <w:lang w:eastAsia="zh-CN"/>
        </w:rPr>
        <w:t>）</w:t>
      </w:r>
      <w:r>
        <w:rPr>
          <w:rFonts w:hint="eastAsia" w:ascii="黑体" w:hAnsi="黑体" w:eastAsia="黑体"/>
          <w:color w:val="auto"/>
          <w:sz w:val="28"/>
        </w:rPr>
        <w:t>毕业生整体竞争力不断增强</w:t>
      </w:r>
      <w:bookmarkEnd w:id="267"/>
      <w:bookmarkEnd w:id="268"/>
      <w:bookmarkEnd w:id="269"/>
      <w:bookmarkEnd w:id="270"/>
      <w:bookmarkEnd w:id="271"/>
      <w:bookmarkEnd w:id="272"/>
    </w:p>
    <w:p>
      <w:pPr>
        <w:pStyle w:val="4"/>
        <w:rPr>
          <w:rFonts w:ascii="黑体" w:hAnsi="黑体" w:cs="黑体"/>
          <w:color w:val="auto"/>
        </w:rPr>
      </w:pPr>
      <w:bookmarkStart w:id="273" w:name="_Toc501108739"/>
      <w:bookmarkStart w:id="274" w:name="_Toc501116694"/>
      <w:bookmarkStart w:id="275" w:name="_Toc88218455"/>
      <w:bookmarkStart w:id="276" w:name="_Toc12341"/>
      <w:bookmarkStart w:id="277" w:name="_Toc25018"/>
      <w:bookmarkStart w:id="278" w:name="_Toc89702834"/>
      <w:bookmarkStart w:id="279" w:name="_Toc10436"/>
      <w:r>
        <w:rPr>
          <w:rFonts w:hint="eastAsia" w:ascii="黑体" w:hAnsi="黑体" w:cs="黑体"/>
          <w:color w:val="auto"/>
        </w:rPr>
        <w:t>1</w:t>
      </w:r>
      <w:r>
        <w:rPr>
          <w:rFonts w:hint="eastAsia" w:ascii="黑体" w:hAnsi="黑体" w:cs="黑体"/>
          <w:color w:val="auto"/>
          <w:lang w:eastAsia="zh-CN"/>
        </w:rPr>
        <w:t>.</w:t>
      </w:r>
      <w:r>
        <w:rPr>
          <w:rFonts w:hint="eastAsia" w:ascii="黑体" w:hAnsi="黑体" w:cs="黑体"/>
          <w:color w:val="auto"/>
        </w:rPr>
        <w:t>毕业率和学位授予率</w:t>
      </w:r>
      <w:bookmarkEnd w:id="273"/>
      <w:bookmarkEnd w:id="274"/>
      <w:r>
        <w:rPr>
          <w:rFonts w:hint="eastAsia" w:ascii="黑体" w:hAnsi="黑体" w:cs="黑体"/>
          <w:color w:val="auto"/>
        </w:rPr>
        <w:t>情况</w:t>
      </w:r>
      <w:bookmarkEnd w:id="275"/>
      <w:bookmarkEnd w:id="276"/>
      <w:bookmarkEnd w:id="277"/>
      <w:bookmarkEnd w:id="278"/>
      <w:bookmarkEnd w:id="279"/>
    </w:p>
    <w:p>
      <w:pPr>
        <w:ind w:firstLine="480"/>
        <w:rPr>
          <w:rFonts w:ascii="宋体" w:hAnsi="宋体" w:cs="宋体"/>
          <w:color w:val="auto"/>
        </w:rPr>
      </w:pPr>
      <w:r>
        <w:rPr>
          <w:rFonts w:hint="eastAsia" w:ascii="宋体" w:hAnsi="宋体" w:cs="宋体"/>
          <w:color w:val="auto"/>
        </w:rPr>
        <w:t>我校202</w:t>
      </w:r>
      <w:r>
        <w:rPr>
          <w:rFonts w:hint="eastAsia" w:ascii="宋体" w:hAnsi="宋体" w:cs="宋体"/>
          <w:color w:val="auto"/>
          <w:lang w:val="en-US" w:eastAsia="zh-CN"/>
        </w:rPr>
        <w:t>3</w:t>
      </w:r>
      <w:r>
        <w:rPr>
          <w:rFonts w:hint="eastAsia" w:ascii="宋体" w:hAnsi="宋体" w:cs="宋体"/>
          <w:color w:val="auto"/>
        </w:rPr>
        <w:t>届本科生毕业生</w:t>
      </w:r>
      <w:r>
        <w:rPr>
          <w:rFonts w:hint="eastAsia" w:ascii="宋体" w:hAnsi="宋体" w:cs="宋体"/>
          <w:color w:val="auto"/>
          <w:lang w:val="en-US" w:eastAsia="zh-CN"/>
        </w:rPr>
        <w:t>5211</w:t>
      </w:r>
      <w:r>
        <w:rPr>
          <w:rFonts w:hint="eastAsia" w:ascii="宋体" w:hAnsi="宋体" w:cs="宋体"/>
          <w:color w:val="auto"/>
        </w:rPr>
        <w:t>人，</w:t>
      </w:r>
      <w:r>
        <w:rPr>
          <w:rFonts w:hint="eastAsia" w:ascii="宋体" w:hAnsi="宋体" w:cs="宋体"/>
          <w:color w:val="auto"/>
          <w:lang w:val="en-US" w:eastAsia="zh-CN"/>
        </w:rPr>
        <w:t>5184</w:t>
      </w:r>
      <w:r>
        <w:rPr>
          <w:rFonts w:hint="eastAsia" w:ascii="宋体" w:hAnsi="宋体" w:cs="宋体"/>
          <w:color w:val="auto"/>
        </w:rPr>
        <w:t>人顺利完成学业，毕业率为</w:t>
      </w:r>
      <w:r>
        <w:rPr>
          <w:rFonts w:hint="eastAsia" w:ascii="宋体" w:hAnsi="宋体" w:cs="宋体"/>
          <w:color w:val="auto"/>
          <w:lang w:val="en-US" w:eastAsia="zh-CN"/>
        </w:rPr>
        <w:t>99.48</w:t>
      </w:r>
      <w:r>
        <w:rPr>
          <w:rFonts w:hint="eastAsia" w:ascii="宋体" w:hAnsi="宋体" w:cs="宋体"/>
          <w:color w:val="auto"/>
        </w:rPr>
        <w:t>%，学位授予率为</w:t>
      </w:r>
      <w:r>
        <w:rPr>
          <w:rFonts w:hint="eastAsia" w:ascii="宋体" w:hAnsi="宋体" w:cs="宋体"/>
          <w:color w:val="auto"/>
          <w:lang w:val="en-US" w:eastAsia="zh-CN"/>
        </w:rPr>
        <w:t>100</w:t>
      </w:r>
      <w:r>
        <w:rPr>
          <w:rFonts w:hint="eastAsia" w:ascii="宋体" w:hAnsi="宋体" w:cs="宋体"/>
          <w:color w:val="auto"/>
        </w:rPr>
        <w:t>%（见表1</w:t>
      </w:r>
      <w:r>
        <w:rPr>
          <w:rFonts w:hint="eastAsia" w:ascii="宋体" w:hAnsi="宋体" w:cs="宋体"/>
          <w:color w:val="auto"/>
          <w:lang w:val="en-US" w:eastAsia="zh-CN"/>
        </w:rPr>
        <w:t>2</w:t>
      </w:r>
      <w:r>
        <w:rPr>
          <w:rFonts w:hint="eastAsia" w:ascii="宋体" w:hAnsi="宋体" w:cs="宋体"/>
          <w:color w:val="auto"/>
        </w:rPr>
        <w:t>）。</w:t>
      </w:r>
      <w:bookmarkStart w:id="280" w:name="_Toc501095228"/>
    </w:p>
    <w:p>
      <w:pPr>
        <w:pStyle w:val="6"/>
        <w:spacing w:line="240" w:lineRule="auto"/>
        <w:ind w:firstLine="0" w:firstLineChars="0"/>
        <w:jc w:val="center"/>
        <w:rPr>
          <w:rFonts w:ascii="宋体" w:hAnsi="宋体" w:eastAsia="宋体" w:cs="宋体"/>
          <w:color w:val="auto"/>
          <w:sz w:val="21"/>
          <w:szCs w:val="21"/>
        </w:rPr>
      </w:pPr>
    </w:p>
    <w:p>
      <w:pPr>
        <w:pStyle w:val="6"/>
        <w:spacing w:before="156" w:beforeLines="50" w:after="156" w:afterLines="50" w:line="240" w:lineRule="auto"/>
        <w:ind w:firstLine="0" w:firstLineChars="0"/>
        <w:jc w:val="center"/>
        <w:rPr>
          <w:rFonts w:hint="eastAsia" w:ascii="宋体" w:hAnsi="宋体" w:eastAsia="宋体" w:cs="宋体"/>
          <w:color w:val="auto"/>
          <w:sz w:val="21"/>
          <w:szCs w:val="21"/>
          <w:highlight w:val="none"/>
        </w:rPr>
      </w:pPr>
      <w:bookmarkStart w:id="281" w:name="_Toc88218490"/>
      <w:r>
        <w:rPr>
          <w:rFonts w:hint="eastAsia" w:ascii="宋体" w:hAnsi="宋体" w:eastAsia="宋体" w:cs="宋体"/>
          <w:color w:val="auto"/>
          <w:sz w:val="21"/>
          <w:szCs w:val="21"/>
          <w:highlight w:val="none"/>
        </w:rPr>
        <w:t>表</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SEQ 表 \* ARABIC</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fldChar w:fldCharType="end"/>
      </w:r>
      <w:bookmarkStart w:id="282" w:name="_Toc11087"/>
      <w:r>
        <w:rPr>
          <w:rFonts w:hint="eastAsia" w:ascii="宋体" w:hAnsi="宋体" w:eastAsia="宋体" w:cs="宋体"/>
          <w:color w:val="auto"/>
          <w:sz w:val="21"/>
          <w:szCs w:val="21"/>
          <w:highlight w:val="none"/>
        </w:rPr>
        <w:t xml:space="preserve"> 202</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届本科生毕业率及学位授予率</w:t>
      </w:r>
      <w:bookmarkEnd w:id="280"/>
      <w:bookmarkEnd w:id="281"/>
      <w:bookmarkEnd w:id="282"/>
    </w:p>
    <w:tbl>
      <w:tblPr>
        <w:tblStyle w:val="18"/>
        <w:tblW w:w="5000" w:type="pct"/>
        <w:tblInd w:w="0" w:type="dxa"/>
        <w:tblLayout w:type="autofit"/>
        <w:tblCellMar>
          <w:top w:w="0" w:type="dxa"/>
          <w:left w:w="108" w:type="dxa"/>
          <w:bottom w:w="0" w:type="dxa"/>
          <w:right w:w="108" w:type="dxa"/>
        </w:tblCellMar>
      </w:tblPr>
      <w:tblGrid>
        <w:gridCol w:w="1952"/>
        <w:gridCol w:w="1626"/>
        <w:gridCol w:w="1464"/>
        <w:gridCol w:w="1730"/>
        <w:gridCol w:w="1750"/>
      </w:tblGrid>
      <w:tr>
        <w:tblPrEx>
          <w:tblCellMar>
            <w:top w:w="0" w:type="dxa"/>
            <w:left w:w="108" w:type="dxa"/>
            <w:bottom w:w="0" w:type="dxa"/>
            <w:right w:w="108" w:type="dxa"/>
          </w:tblCellMar>
        </w:tblPrEx>
        <w:trPr>
          <w:trHeight w:val="342" w:hRule="atLeast"/>
        </w:trPr>
        <w:tc>
          <w:tcPr>
            <w:tcW w:w="1145" w:type="pct"/>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rPr>
                <w:rFonts w:ascii="宋体" w:hAnsi="宋体" w:cs="宋体"/>
                <w:bCs/>
                <w:color w:val="auto"/>
                <w:kern w:val="0"/>
                <w:sz w:val="21"/>
                <w:szCs w:val="21"/>
                <w:highlight w:val="none"/>
              </w:rPr>
            </w:pPr>
            <w:r>
              <w:rPr>
                <w:rFonts w:hint="eastAsia" w:ascii="宋体" w:hAnsi="宋体" w:cs="宋体"/>
                <w:bCs/>
                <w:color w:val="auto"/>
                <w:kern w:val="0"/>
                <w:sz w:val="21"/>
                <w:szCs w:val="21"/>
                <w:highlight w:val="none"/>
              </w:rPr>
              <w:t>应届本科生数</w:t>
            </w:r>
          </w:p>
        </w:tc>
        <w:tc>
          <w:tcPr>
            <w:tcW w:w="954" w:type="pct"/>
            <w:tcBorders>
              <w:top w:val="single" w:color="auto" w:sz="4" w:space="0"/>
              <w:left w:val="nil"/>
              <w:bottom w:val="single" w:color="auto" w:sz="4" w:space="0"/>
              <w:right w:val="single" w:color="auto" w:sz="4" w:space="0"/>
            </w:tcBorders>
            <w:vAlign w:val="bottom"/>
          </w:tcPr>
          <w:p>
            <w:pPr>
              <w:widowControl/>
              <w:ind w:firstLine="0" w:firstLineChars="0"/>
              <w:jc w:val="center"/>
              <w:rPr>
                <w:rFonts w:ascii="宋体" w:hAnsi="宋体" w:cs="宋体"/>
                <w:bCs/>
                <w:color w:val="auto"/>
                <w:kern w:val="0"/>
                <w:sz w:val="21"/>
                <w:szCs w:val="21"/>
                <w:highlight w:val="none"/>
              </w:rPr>
            </w:pPr>
            <w:r>
              <w:rPr>
                <w:rFonts w:hint="eastAsia" w:ascii="宋体" w:hAnsi="宋体" w:cs="宋体"/>
                <w:bCs/>
                <w:color w:val="auto"/>
                <w:kern w:val="0"/>
                <w:sz w:val="21"/>
                <w:szCs w:val="21"/>
                <w:highlight w:val="none"/>
              </w:rPr>
              <w:t>毕业人数</w:t>
            </w:r>
          </w:p>
        </w:tc>
        <w:tc>
          <w:tcPr>
            <w:tcW w:w="859" w:type="pct"/>
            <w:tcBorders>
              <w:top w:val="single" w:color="auto" w:sz="4" w:space="0"/>
              <w:left w:val="nil"/>
              <w:bottom w:val="single" w:color="auto" w:sz="4" w:space="0"/>
              <w:right w:val="single" w:color="auto" w:sz="4" w:space="0"/>
            </w:tcBorders>
            <w:vAlign w:val="bottom"/>
          </w:tcPr>
          <w:p>
            <w:pPr>
              <w:widowControl/>
              <w:ind w:firstLine="0" w:firstLineChars="0"/>
              <w:jc w:val="center"/>
              <w:rPr>
                <w:rFonts w:ascii="宋体" w:hAnsi="宋体" w:cs="宋体"/>
                <w:bCs/>
                <w:color w:val="auto"/>
                <w:kern w:val="0"/>
                <w:sz w:val="21"/>
                <w:szCs w:val="21"/>
                <w:highlight w:val="none"/>
              </w:rPr>
            </w:pPr>
            <w:r>
              <w:rPr>
                <w:rFonts w:hint="eastAsia" w:ascii="宋体" w:hAnsi="宋体" w:cs="宋体"/>
                <w:bCs/>
                <w:color w:val="auto"/>
                <w:kern w:val="0"/>
                <w:sz w:val="21"/>
                <w:szCs w:val="21"/>
                <w:highlight w:val="none"/>
              </w:rPr>
              <w:t>毕业率（%）</w:t>
            </w:r>
          </w:p>
        </w:tc>
        <w:tc>
          <w:tcPr>
            <w:tcW w:w="1015" w:type="pct"/>
            <w:tcBorders>
              <w:top w:val="single" w:color="auto" w:sz="4" w:space="0"/>
              <w:left w:val="single" w:color="auto" w:sz="4" w:space="0"/>
              <w:bottom w:val="single" w:color="auto" w:sz="4" w:space="0"/>
              <w:right w:val="single" w:color="auto" w:sz="4" w:space="0"/>
            </w:tcBorders>
            <w:vAlign w:val="bottom"/>
          </w:tcPr>
          <w:p>
            <w:pPr>
              <w:widowControl/>
              <w:ind w:firstLine="0" w:firstLineChars="0"/>
              <w:jc w:val="center"/>
              <w:rPr>
                <w:rFonts w:ascii="宋体" w:hAnsi="宋体" w:cs="宋体"/>
                <w:bCs/>
                <w:color w:val="auto"/>
                <w:kern w:val="0"/>
                <w:sz w:val="21"/>
                <w:szCs w:val="21"/>
                <w:highlight w:val="none"/>
              </w:rPr>
            </w:pPr>
            <w:r>
              <w:rPr>
                <w:rFonts w:hint="eastAsia" w:ascii="宋体" w:hAnsi="宋体" w:cs="宋体"/>
                <w:bCs/>
                <w:color w:val="auto"/>
                <w:kern w:val="0"/>
                <w:sz w:val="21"/>
                <w:szCs w:val="21"/>
                <w:highlight w:val="none"/>
              </w:rPr>
              <w:t>授予学位人数</w:t>
            </w:r>
          </w:p>
        </w:tc>
        <w:tc>
          <w:tcPr>
            <w:tcW w:w="1027" w:type="pct"/>
            <w:tcBorders>
              <w:top w:val="single" w:color="auto" w:sz="4" w:space="0"/>
              <w:left w:val="nil"/>
              <w:bottom w:val="single" w:color="auto" w:sz="4" w:space="0"/>
              <w:right w:val="single" w:color="auto" w:sz="4" w:space="0"/>
            </w:tcBorders>
            <w:vAlign w:val="bottom"/>
          </w:tcPr>
          <w:p>
            <w:pPr>
              <w:widowControl/>
              <w:ind w:firstLine="0" w:firstLineChars="0"/>
              <w:jc w:val="center"/>
              <w:rPr>
                <w:rFonts w:ascii="宋体" w:hAnsi="宋体" w:cs="宋体"/>
                <w:bCs/>
                <w:color w:val="auto"/>
                <w:kern w:val="0"/>
                <w:sz w:val="21"/>
                <w:szCs w:val="21"/>
                <w:highlight w:val="none"/>
              </w:rPr>
            </w:pPr>
            <w:r>
              <w:rPr>
                <w:rFonts w:hint="eastAsia" w:ascii="宋体" w:hAnsi="宋体" w:cs="宋体"/>
                <w:bCs/>
                <w:color w:val="auto"/>
                <w:kern w:val="0"/>
                <w:sz w:val="21"/>
                <w:szCs w:val="21"/>
                <w:highlight w:val="none"/>
              </w:rPr>
              <w:t>学位授予率（%）</w:t>
            </w:r>
          </w:p>
        </w:tc>
      </w:tr>
      <w:tr>
        <w:tblPrEx>
          <w:tblCellMar>
            <w:top w:w="0" w:type="dxa"/>
            <w:left w:w="108" w:type="dxa"/>
            <w:bottom w:w="0" w:type="dxa"/>
            <w:right w:w="108" w:type="dxa"/>
          </w:tblCellMar>
        </w:tblPrEx>
        <w:trPr>
          <w:trHeight w:val="342" w:hRule="atLeast"/>
        </w:trPr>
        <w:tc>
          <w:tcPr>
            <w:tcW w:w="1145" w:type="pct"/>
            <w:tcBorders>
              <w:top w:val="nil"/>
              <w:left w:val="single" w:color="auto" w:sz="4" w:space="0"/>
              <w:bottom w:val="single" w:color="auto" w:sz="4" w:space="0"/>
              <w:right w:val="single" w:color="auto" w:sz="4" w:space="0"/>
            </w:tcBorders>
            <w:vAlign w:val="bottom"/>
          </w:tcPr>
          <w:p>
            <w:pPr>
              <w:widowControl/>
              <w:ind w:firstLine="630" w:firstLineChars="300"/>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5211</w:t>
            </w:r>
          </w:p>
        </w:tc>
        <w:tc>
          <w:tcPr>
            <w:tcW w:w="954" w:type="pct"/>
            <w:tcBorders>
              <w:top w:val="nil"/>
              <w:left w:val="nil"/>
              <w:bottom w:val="single" w:color="auto" w:sz="4" w:space="0"/>
              <w:right w:val="single" w:color="auto" w:sz="4" w:space="0"/>
            </w:tcBorders>
            <w:vAlign w:val="center"/>
          </w:tcPr>
          <w:p>
            <w:pPr>
              <w:widowControl/>
              <w:ind w:firstLine="420"/>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5184</w:t>
            </w:r>
          </w:p>
        </w:tc>
        <w:tc>
          <w:tcPr>
            <w:tcW w:w="859" w:type="pct"/>
            <w:tcBorders>
              <w:top w:val="single" w:color="auto" w:sz="4" w:space="0"/>
              <w:left w:val="nil"/>
              <w:bottom w:val="single" w:color="auto" w:sz="4" w:space="0"/>
              <w:right w:val="single" w:color="auto" w:sz="4" w:space="0"/>
            </w:tcBorders>
            <w:vAlign w:val="center"/>
          </w:tcPr>
          <w:p>
            <w:pPr>
              <w:widowControl/>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99.48</w:t>
            </w:r>
          </w:p>
        </w:tc>
        <w:tc>
          <w:tcPr>
            <w:tcW w:w="1015"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5184</w:t>
            </w:r>
          </w:p>
        </w:tc>
        <w:tc>
          <w:tcPr>
            <w:tcW w:w="1027" w:type="pct"/>
            <w:tcBorders>
              <w:top w:val="nil"/>
              <w:left w:val="nil"/>
              <w:bottom w:val="single" w:color="auto" w:sz="4" w:space="0"/>
              <w:right w:val="single" w:color="auto" w:sz="4" w:space="0"/>
            </w:tcBorders>
            <w:vAlign w:val="center"/>
          </w:tcPr>
          <w:p>
            <w:pPr>
              <w:widowControl/>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100</w:t>
            </w:r>
          </w:p>
        </w:tc>
      </w:tr>
    </w:tbl>
    <w:p>
      <w:pPr>
        <w:pStyle w:val="4"/>
        <w:rPr>
          <w:rFonts w:ascii="黑体" w:hAnsi="黑体" w:cs="黑体"/>
          <w:color w:val="auto"/>
        </w:rPr>
      </w:pPr>
      <w:bookmarkStart w:id="283" w:name="_1638769426"/>
      <w:bookmarkEnd w:id="283"/>
      <w:bookmarkStart w:id="284" w:name="_Toc88218457"/>
      <w:bookmarkStart w:id="285" w:name="_Toc89702836"/>
      <w:bookmarkStart w:id="286" w:name="_Toc11088"/>
      <w:bookmarkStart w:id="287" w:name="_Toc4051"/>
      <w:bookmarkStart w:id="288" w:name="_Toc6156"/>
      <w:r>
        <w:rPr>
          <w:rFonts w:hint="eastAsia" w:ascii="黑体" w:hAnsi="黑体" w:cs="黑体"/>
          <w:color w:val="auto"/>
        </w:rPr>
        <w:t>2</w:t>
      </w:r>
      <w:r>
        <w:rPr>
          <w:rFonts w:hint="eastAsia" w:ascii="黑体" w:hAnsi="黑体" w:cs="黑体"/>
          <w:color w:val="auto"/>
          <w:lang w:eastAsia="zh-CN"/>
        </w:rPr>
        <w:t>.</w:t>
      </w:r>
      <w:r>
        <w:rPr>
          <w:rFonts w:hint="eastAsia" w:ascii="黑体" w:hAnsi="黑体" w:cs="黑体"/>
          <w:color w:val="auto"/>
        </w:rPr>
        <w:t>毕业生</w:t>
      </w:r>
      <w:bookmarkEnd w:id="284"/>
      <w:bookmarkEnd w:id="285"/>
      <w:r>
        <w:rPr>
          <w:rFonts w:hint="eastAsia" w:ascii="黑体" w:hAnsi="黑体" w:cs="黑体"/>
          <w:color w:val="auto"/>
        </w:rPr>
        <w:t>去向落实情况</w:t>
      </w:r>
      <w:bookmarkEnd w:id="286"/>
      <w:bookmarkEnd w:id="287"/>
      <w:bookmarkEnd w:id="288"/>
    </w:p>
    <w:p>
      <w:pPr>
        <w:ind w:firstLine="480"/>
        <w:rPr>
          <w:rFonts w:ascii="宋体" w:hAnsi="宋体" w:cs="宋体"/>
          <w:color w:val="auto"/>
          <w:highlight w:val="none"/>
        </w:rPr>
      </w:pPr>
      <w:r>
        <w:rPr>
          <w:rFonts w:hint="eastAsia" w:ascii="宋体" w:hAnsi="宋体" w:cs="宋体"/>
          <w:color w:val="auto"/>
        </w:rPr>
        <w:t>202</w:t>
      </w:r>
      <w:r>
        <w:rPr>
          <w:rFonts w:hint="eastAsia" w:ascii="宋体" w:hAnsi="宋体" w:cs="宋体"/>
          <w:color w:val="auto"/>
          <w:lang w:val="en-US" w:eastAsia="zh-CN"/>
        </w:rPr>
        <w:t>3</w:t>
      </w:r>
      <w:r>
        <w:rPr>
          <w:rFonts w:hint="eastAsia" w:ascii="宋体" w:hAnsi="宋体" w:cs="宋体"/>
          <w:color w:val="auto"/>
        </w:rPr>
        <w:t>年我校顺利毕业的全日制普通高校本科生共</w:t>
      </w:r>
      <w:r>
        <w:rPr>
          <w:rFonts w:hint="eastAsia" w:ascii="宋体" w:hAnsi="宋体" w:cs="宋体"/>
          <w:color w:val="auto"/>
          <w:lang w:val="en-US" w:eastAsia="zh-CN"/>
        </w:rPr>
        <w:t>5184</w:t>
      </w:r>
      <w:r>
        <w:rPr>
          <w:rFonts w:hint="eastAsia" w:ascii="宋体" w:hAnsi="宋体" w:cs="宋体"/>
          <w:color w:val="auto"/>
        </w:rPr>
        <w:t>人。</w:t>
      </w:r>
      <w:r>
        <w:rPr>
          <w:rFonts w:hint="eastAsia" w:ascii="宋体" w:hAnsi="宋体" w:eastAsia="宋体"/>
          <w:color w:val="auto"/>
          <w:sz w:val="24"/>
          <w:szCs w:val="24"/>
        </w:rPr>
        <w:t>截至</w:t>
      </w:r>
      <w:r>
        <w:rPr>
          <w:rFonts w:hint="eastAsia" w:ascii="宋体" w:hAnsi="宋体" w:eastAsia="宋体"/>
          <w:color w:val="auto"/>
          <w:sz w:val="24"/>
          <w:szCs w:val="24"/>
          <w:u w:val="none"/>
          <w:lang w:val="en-US" w:eastAsia="zh-CN"/>
        </w:rPr>
        <w:t>2023</w:t>
      </w:r>
      <w:r>
        <w:rPr>
          <w:rFonts w:hint="eastAsia" w:ascii="宋体" w:hAnsi="宋体" w:eastAsia="宋体"/>
          <w:color w:val="auto"/>
          <w:sz w:val="24"/>
          <w:szCs w:val="24"/>
          <w:u w:val="none"/>
        </w:rPr>
        <w:t>年8月31日，学校应届本科毕业生总体就业率达</w:t>
      </w:r>
      <w:r>
        <w:rPr>
          <w:rFonts w:hint="eastAsia" w:ascii="宋体" w:hAnsi="宋体" w:eastAsia="宋体"/>
          <w:color w:val="auto"/>
          <w:sz w:val="24"/>
          <w:szCs w:val="24"/>
          <w:u w:val="none"/>
          <w:lang w:val="en-US" w:eastAsia="zh-CN"/>
        </w:rPr>
        <w:t>94.97</w:t>
      </w:r>
      <w:r>
        <w:rPr>
          <w:rFonts w:hint="eastAsia" w:ascii="宋体" w:hAnsi="宋体" w:eastAsia="宋体"/>
          <w:color w:val="auto"/>
          <w:sz w:val="24"/>
          <w:szCs w:val="24"/>
          <w:u w:val="none"/>
        </w:rPr>
        <w:t>%。毕业生最主要的毕业去向是</w:t>
      </w:r>
      <w:r>
        <w:rPr>
          <w:rFonts w:hint="eastAsia" w:ascii="宋体" w:hAnsi="宋体" w:eastAsia="宋体"/>
          <w:color w:val="auto"/>
          <w:sz w:val="24"/>
          <w:szCs w:val="24"/>
          <w:u w:val="none"/>
          <w:lang w:val="en-US" w:eastAsia="zh-CN"/>
        </w:rPr>
        <w:t>企业</w:t>
      </w:r>
      <w:r>
        <w:rPr>
          <w:rFonts w:hint="eastAsia" w:ascii="宋体" w:hAnsi="宋体" w:eastAsia="宋体"/>
          <w:color w:val="auto"/>
          <w:sz w:val="24"/>
          <w:szCs w:val="24"/>
          <w:u w:val="none"/>
        </w:rPr>
        <w:t>，占</w:t>
      </w:r>
      <w:r>
        <w:rPr>
          <w:rFonts w:hint="eastAsia" w:ascii="宋体" w:hAnsi="宋体" w:eastAsia="宋体"/>
          <w:color w:val="auto"/>
          <w:sz w:val="24"/>
          <w:szCs w:val="24"/>
          <w:u w:val="none"/>
          <w:lang w:val="en-US" w:eastAsia="zh-CN"/>
        </w:rPr>
        <w:t>26.1</w:t>
      </w:r>
      <w:r>
        <w:rPr>
          <w:rFonts w:hint="eastAsia" w:ascii="宋体" w:hAnsi="宋体" w:eastAsia="宋体"/>
          <w:color w:val="auto"/>
          <w:sz w:val="24"/>
          <w:szCs w:val="24"/>
          <w:u w:val="none"/>
        </w:rPr>
        <w:t>%。升学</w:t>
      </w:r>
      <w:r>
        <w:rPr>
          <w:rFonts w:hint="eastAsia" w:ascii="宋体" w:hAnsi="宋体" w:eastAsia="宋体"/>
          <w:color w:val="auto"/>
          <w:sz w:val="24"/>
          <w:szCs w:val="24"/>
          <w:u w:val="none"/>
          <w:lang w:val="en-US" w:eastAsia="zh-CN"/>
        </w:rPr>
        <w:t>1215</w:t>
      </w:r>
      <w:r>
        <w:rPr>
          <w:rFonts w:hint="eastAsia" w:ascii="宋体" w:hAnsi="宋体" w:eastAsia="宋体"/>
          <w:color w:val="auto"/>
          <w:sz w:val="24"/>
          <w:szCs w:val="24"/>
          <w:u w:val="none"/>
        </w:rPr>
        <w:t>人，占</w:t>
      </w:r>
      <w:r>
        <w:rPr>
          <w:rFonts w:hint="eastAsia" w:ascii="宋体" w:hAnsi="宋体" w:eastAsia="宋体"/>
          <w:color w:val="auto"/>
          <w:sz w:val="24"/>
          <w:szCs w:val="24"/>
          <w:u w:val="none"/>
          <w:lang w:val="en-US" w:eastAsia="zh-CN"/>
        </w:rPr>
        <w:t>23.44</w:t>
      </w:r>
      <w:r>
        <w:rPr>
          <w:rFonts w:hint="eastAsia" w:ascii="宋体" w:hAnsi="宋体" w:eastAsia="宋体"/>
          <w:color w:val="auto"/>
          <w:sz w:val="24"/>
          <w:szCs w:val="24"/>
          <w:u w:val="none"/>
        </w:rPr>
        <w:t>%，其中出国（境）留学</w:t>
      </w:r>
      <w:r>
        <w:rPr>
          <w:rFonts w:hint="eastAsia" w:ascii="宋体" w:hAnsi="宋体" w:eastAsia="宋体"/>
          <w:color w:val="auto"/>
          <w:sz w:val="24"/>
          <w:szCs w:val="24"/>
          <w:u w:val="none"/>
          <w:lang w:val="en-US" w:eastAsia="zh-CN"/>
        </w:rPr>
        <w:t>174</w:t>
      </w:r>
      <w:r>
        <w:rPr>
          <w:rFonts w:hint="eastAsia" w:ascii="宋体" w:hAnsi="宋体" w:eastAsia="宋体"/>
          <w:color w:val="auto"/>
          <w:sz w:val="24"/>
          <w:szCs w:val="24"/>
          <w:u w:val="none"/>
        </w:rPr>
        <w:t>人，占</w:t>
      </w:r>
      <w:r>
        <w:rPr>
          <w:rFonts w:hint="eastAsia" w:ascii="宋体" w:hAnsi="宋体" w:eastAsia="宋体"/>
          <w:color w:val="auto"/>
          <w:sz w:val="24"/>
          <w:szCs w:val="24"/>
          <w:u w:val="none"/>
          <w:lang w:val="en-US" w:eastAsia="zh-CN"/>
        </w:rPr>
        <w:t>3.53</w:t>
      </w:r>
      <w:r>
        <w:rPr>
          <w:rFonts w:hint="eastAsia" w:ascii="宋体" w:hAnsi="宋体" w:eastAsia="宋体"/>
          <w:color w:val="auto"/>
          <w:sz w:val="24"/>
          <w:szCs w:val="24"/>
          <w:u w:val="none"/>
        </w:rPr>
        <w:t>%。</w:t>
      </w:r>
      <w:r>
        <w:rPr>
          <w:rFonts w:hint="eastAsia" w:ascii="宋体" w:hAnsi="宋体" w:cs="宋体"/>
          <w:color w:val="auto"/>
          <w:highlight w:val="none"/>
        </w:rPr>
        <w:t>（见表1</w:t>
      </w:r>
      <w:r>
        <w:rPr>
          <w:rFonts w:hint="eastAsia" w:ascii="宋体" w:hAnsi="宋体" w:cs="宋体"/>
          <w:color w:val="auto"/>
          <w:highlight w:val="none"/>
          <w:lang w:val="en-US" w:eastAsia="zh-CN"/>
        </w:rPr>
        <w:t>3</w:t>
      </w:r>
      <w:r>
        <w:rPr>
          <w:rFonts w:hint="eastAsia" w:ascii="宋体" w:hAnsi="宋体" w:cs="宋体"/>
          <w:color w:val="auto"/>
          <w:highlight w:val="none"/>
        </w:rPr>
        <w:t>）。</w:t>
      </w:r>
    </w:p>
    <w:p>
      <w:pPr>
        <w:ind w:firstLine="420"/>
        <w:jc w:val="center"/>
        <w:rPr>
          <w:rFonts w:ascii="宋体" w:hAnsi="宋体" w:cs="宋体"/>
          <w:color w:val="auto"/>
          <w:sz w:val="21"/>
          <w:szCs w:val="21"/>
          <w:highlight w:val="none"/>
        </w:rPr>
      </w:pPr>
      <w:bookmarkStart w:id="289" w:name="_Toc500258152"/>
      <w:bookmarkStart w:id="290" w:name="_Toc26707271"/>
      <w:bookmarkStart w:id="291" w:name="_Toc88218491"/>
      <w:r>
        <w:rPr>
          <w:rFonts w:hint="eastAsia" w:ascii="宋体" w:hAnsi="宋体" w:eastAsia="宋体" w:cs="宋体"/>
          <w:color w:val="auto"/>
          <w:kern w:val="2"/>
          <w:sz w:val="21"/>
          <w:szCs w:val="21"/>
          <w:highlight w:val="none"/>
          <w:lang w:val="en-US" w:eastAsia="zh-CN" w:bidi="ar-SA"/>
        </w:rPr>
        <w:t>表</w:t>
      </w:r>
      <w:r>
        <w:rPr>
          <w:rFonts w:hint="eastAsia" w:ascii="宋体" w:hAnsi="宋体" w:eastAsia="宋体" w:cs="宋体"/>
          <w:color w:val="auto"/>
          <w:kern w:val="2"/>
          <w:sz w:val="21"/>
          <w:szCs w:val="21"/>
          <w:highlight w:val="none"/>
          <w:lang w:val="en-US" w:eastAsia="zh-CN" w:bidi="ar-SA"/>
        </w:rPr>
        <w:fldChar w:fldCharType="begin"/>
      </w:r>
      <w:r>
        <w:rPr>
          <w:rFonts w:hint="eastAsia" w:ascii="宋体" w:hAnsi="宋体" w:eastAsia="宋体" w:cs="宋体"/>
          <w:color w:val="auto"/>
          <w:kern w:val="2"/>
          <w:sz w:val="21"/>
          <w:szCs w:val="21"/>
          <w:highlight w:val="none"/>
          <w:lang w:val="en-US" w:eastAsia="zh-CN" w:bidi="ar-SA"/>
        </w:rPr>
        <w:instrText xml:space="preserve">SEQ 表 \* ARABIC</w:instrText>
      </w:r>
      <w:r>
        <w:rPr>
          <w:rFonts w:hint="eastAsia" w:ascii="宋体" w:hAnsi="宋体" w:eastAsia="宋体" w:cs="宋体"/>
          <w:color w:val="auto"/>
          <w:kern w:val="2"/>
          <w:sz w:val="21"/>
          <w:szCs w:val="21"/>
          <w:highlight w:val="none"/>
          <w:lang w:val="en-US" w:eastAsia="zh-CN" w:bidi="ar-SA"/>
        </w:rPr>
        <w:fldChar w:fldCharType="separate"/>
      </w:r>
      <w:r>
        <w:rPr>
          <w:rFonts w:hint="eastAsia" w:ascii="宋体" w:hAnsi="宋体" w:eastAsia="宋体" w:cs="宋体"/>
          <w:color w:val="auto"/>
          <w:kern w:val="2"/>
          <w:sz w:val="21"/>
          <w:szCs w:val="21"/>
          <w:highlight w:val="none"/>
          <w:lang w:val="en-US" w:eastAsia="zh-CN" w:bidi="ar-SA"/>
        </w:rPr>
        <w:t>1</w:t>
      </w:r>
      <w:r>
        <w:rPr>
          <w:rFonts w:hint="eastAsia" w:ascii="宋体" w:hAnsi="宋体" w:cs="宋体"/>
          <w:color w:val="auto"/>
          <w:kern w:val="2"/>
          <w:sz w:val="21"/>
          <w:szCs w:val="21"/>
          <w:highlight w:val="none"/>
          <w:lang w:val="en-US" w:eastAsia="zh-CN" w:bidi="ar-SA"/>
        </w:rPr>
        <w:t>3</w:t>
      </w:r>
      <w:r>
        <w:rPr>
          <w:rFonts w:hint="eastAsia" w:ascii="宋体" w:hAnsi="宋体" w:eastAsia="宋体" w:cs="宋体"/>
          <w:color w:val="auto"/>
          <w:kern w:val="2"/>
          <w:sz w:val="21"/>
          <w:szCs w:val="21"/>
          <w:highlight w:val="none"/>
          <w:lang w:val="en-US" w:eastAsia="zh-CN" w:bidi="ar-SA"/>
        </w:rPr>
        <w:fldChar w:fldCharType="end"/>
      </w:r>
      <w:bookmarkStart w:id="292" w:name="_Toc31698"/>
      <w:r>
        <w:rPr>
          <w:rFonts w:hint="eastAsia" w:ascii="宋体" w:hAnsi="宋体" w:eastAsia="宋体" w:cs="宋体"/>
          <w:color w:val="auto"/>
          <w:kern w:val="2"/>
          <w:sz w:val="21"/>
          <w:szCs w:val="21"/>
          <w:highlight w:val="none"/>
          <w:lang w:val="en-US" w:eastAsia="zh-CN" w:bidi="ar-SA"/>
        </w:rPr>
        <w:t xml:space="preserve"> 2023届毕业生</w:t>
      </w:r>
      <w:bookmarkEnd w:id="289"/>
      <w:bookmarkEnd w:id="290"/>
      <w:bookmarkEnd w:id="291"/>
      <w:r>
        <w:rPr>
          <w:rFonts w:hint="eastAsia" w:ascii="宋体" w:hAnsi="宋体" w:eastAsia="宋体" w:cs="宋体"/>
          <w:color w:val="auto"/>
          <w:kern w:val="2"/>
          <w:sz w:val="21"/>
          <w:szCs w:val="21"/>
          <w:highlight w:val="none"/>
          <w:lang w:val="en-US" w:eastAsia="zh-CN" w:bidi="ar-SA"/>
        </w:rPr>
        <w:t>去向落实情况</w:t>
      </w:r>
      <w:bookmarkEnd w:id="292"/>
    </w:p>
    <w:tbl>
      <w:tblPr>
        <w:tblStyle w:val="18"/>
        <w:tblW w:w="85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2"/>
        <w:gridCol w:w="2280"/>
        <w:gridCol w:w="3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0" w:hRule="atLeast"/>
          <w:jc w:val="center"/>
        </w:trPr>
        <w:tc>
          <w:tcPr>
            <w:tcW w:w="3242" w:type="dxa"/>
            <w:noWrap/>
            <w:vAlign w:val="center"/>
          </w:tcPr>
          <w:p>
            <w:pPr>
              <w:widowControl/>
              <w:spacing w:line="240" w:lineRule="auto"/>
              <w:ind w:firstLine="42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去向类型</w:t>
            </w:r>
          </w:p>
        </w:tc>
        <w:tc>
          <w:tcPr>
            <w:tcW w:w="2280" w:type="dxa"/>
            <w:noWrap/>
            <w:vAlign w:val="center"/>
          </w:tcPr>
          <w:p>
            <w:pPr>
              <w:widowControl/>
              <w:spacing w:line="240" w:lineRule="auto"/>
              <w:ind w:firstLine="42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人数</w:t>
            </w:r>
          </w:p>
        </w:tc>
        <w:tc>
          <w:tcPr>
            <w:tcW w:w="3020" w:type="dxa"/>
            <w:noWrap/>
            <w:vAlign w:val="center"/>
          </w:tcPr>
          <w:p>
            <w:pPr>
              <w:widowControl/>
              <w:spacing w:line="240" w:lineRule="auto"/>
              <w:ind w:firstLine="42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42" w:type="dxa"/>
            <w:noWrap/>
            <w:vAlign w:val="center"/>
          </w:tcPr>
          <w:p>
            <w:pPr>
              <w:widowControl/>
              <w:spacing w:line="240" w:lineRule="auto"/>
              <w:ind w:firstLine="42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bidi="ar"/>
              </w:rPr>
              <w:t>签约就业</w:t>
            </w:r>
          </w:p>
        </w:tc>
        <w:tc>
          <w:tcPr>
            <w:tcW w:w="2280" w:type="dxa"/>
            <w:noWrap/>
            <w:vAlign w:val="center"/>
          </w:tcPr>
          <w:p>
            <w:pPr>
              <w:widowControl/>
              <w:ind w:firstLine="42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bidi="ar"/>
              </w:rPr>
              <w:t>2633</w:t>
            </w:r>
          </w:p>
        </w:tc>
        <w:tc>
          <w:tcPr>
            <w:tcW w:w="3020" w:type="dxa"/>
            <w:noWrap/>
          </w:tcPr>
          <w:p>
            <w:pPr>
              <w:widowControl/>
              <w:ind w:firstLine="420" w:firstLineChars="0"/>
              <w:jc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50.79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42" w:type="dxa"/>
            <w:noWrap/>
            <w:vAlign w:val="center"/>
          </w:tcPr>
          <w:p>
            <w:pPr>
              <w:widowControl/>
              <w:spacing w:line="240" w:lineRule="auto"/>
              <w:ind w:firstLine="420" w:firstLineChars="0"/>
              <w:jc w:val="center"/>
              <w:rPr>
                <w:rFonts w:hint="default"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其他录用形式</w:t>
            </w:r>
          </w:p>
        </w:tc>
        <w:tc>
          <w:tcPr>
            <w:tcW w:w="2280" w:type="dxa"/>
            <w:noWrap/>
            <w:vAlign w:val="center"/>
          </w:tcPr>
          <w:p>
            <w:pPr>
              <w:widowControl/>
              <w:ind w:firstLine="420" w:firstLineChars="0"/>
              <w:jc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155</w:t>
            </w:r>
          </w:p>
        </w:tc>
        <w:tc>
          <w:tcPr>
            <w:tcW w:w="3020" w:type="dxa"/>
            <w:noWrap/>
          </w:tcPr>
          <w:p>
            <w:pPr>
              <w:widowControl/>
              <w:ind w:firstLine="420" w:firstLineChars="0"/>
              <w:jc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42" w:type="dxa"/>
            <w:noWrap/>
            <w:vAlign w:val="center"/>
          </w:tcPr>
          <w:p>
            <w:pPr>
              <w:widowControl/>
              <w:spacing w:line="240" w:lineRule="auto"/>
              <w:ind w:firstLine="42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bidi="ar"/>
              </w:rPr>
              <w:t>升学</w:t>
            </w:r>
          </w:p>
        </w:tc>
        <w:tc>
          <w:tcPr>
            <w:tcW w:w="2280" w:type="dxa"/>
            <w:noWrap/>
            <w:vAlign w:val="center"/>
          </w:tcPr>
          <w:p>
            <w:pPr>
              <w:widowControl/>
              <w:ind w:firstLine="42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bidi="ar"/>
              </w:rPr>
              <w:t>1158</w:t>
            </w:r>
          </w:p>
        </w:tc>
        <w:tc>
          <w:tcPr>
            <w:tcW w:w="3020" w:type="dxa"/>
            <w:noWrap/>
          </w:tcPr>
          <w:p>
            <w:pPr>
              <w:widowControl/>
              <w:ind w:firstLine="420" w:firstLineChars="0"/>
              <w:jc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22.34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42" w:type="dxa"/>
            <w:noWrap/>
            <w:vAlign w:val="center"/>
          </w:tcPr>
          <w:p>
            <w:pPr>
              <w:widowControl/>
              <w:spacing w:line="240" w:lineRule="auto"/>
              <w:ind w:firstLine="42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bidi="ar"/>
              </w:rPr>
              <w:t>第二学士学位</w:t>
            </w:r>
          </w:p>
        </w:tc>
        <w:tc>
          <w:tcPr>
            <w:tcW w:w="2280" w:type="dxa"/>
            <w:noWrap/>
            <w:vAlign w:val="center"/>
          </w:tcPr>
          <w:p>
            <w:pPr>
              <w:widowControl/>
              <w:ind w:firstLine="42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bidi="ar"/>
              </w:rPr>
              <w:t>57</w:t>
            </w:r>
          </w:p>
        </w:tc>
        <w:tc>
          <w:tcPr>
            <w:tcW w:w="3020" w:type="dxa"/>
            <w:noWrap/>
          </w:tcPr>
          <w:p>
            <w:pPr>
              <w:widowControl/>
              <w:ind w:firstLine="420" w:firstLineChars="0"/>
              <w:jc w:val="center"/>
              <w:rPr>
                <w:rFonts w:hint="eastAsia"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42" w:type="dxa"/>
            <w:noWrap/>
            <w:vAlign w:val="center"/>
          </w:tcPr>
          <w:p>
            <w:pPr>
              <w:widowControl/>
              <w:spacing w:line="240" w:lineRule="auto"/>
              <w:ind w:firstLine="42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bidi="ar"/>
              </w:rPr>
              <w:t>西部计划</w:t>
            </w:r>
          </w:p>
        </w:tc>
        <w:tc>
          <w:tcPr>
            <w:tcW w:w="2280" w:type="dxa"/>
            <w:noWrap/>
            <w:vAlign w:val="center"/>
          </w:tcPr>
          <w:p>
            <w:pPr>
              <w:widowControl/>
              <w:ind w:firstLine="420" w:firstLineChars="0"/>
              <w:jc w:val="center"/>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lang w:val="en-US" w:eastAsia="zh-CN" w:bidi="ar"/>
              </w:rPr>
              <w:t>2</w:t>
            </w:r>
          </w:p>
        </w:tc>
        <w:tc>
          <w:tcPr>
            <w:tcW w:w="3020" w:type="dxa"/>
            <w:noWrap/>
          </w:tcPr>
          <w:p>
            <w:pPr>
              <w:widowControl/>
              <w:ind w:firstLine="420" w:firstLineChars="0"/>
              <w:jc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42" w:type="dxa"/>
            <w:noWrap/>
            <w:vAlign w:val="center"/>
          </w:tcPr>
          <w:p>
            <w:pPr>
              <w:widowControl/>
              <w:spacing w:line="240" w:lineRule="auto"/>
              <w:ind w:firstLine="42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bidi="ar"/>
              </w:rPr>
              <w:t>三支一扶、其他地方基层</w:t>
            </w:r>
          </w:p>
        </w:tc>
        <w:tc>
          <w:tcPr>
            <w:tcW w:w="2280" w:type="dxa"/>
            <w:noWrap/>
            <w:vAlign w:val="center"/>
          </w:tcPr>
          <w:p>
            <w:pPr>
              <w:widowControl/>
              <w:ind w:firstLine="420" w:firstLineChars="0"/>
              <w:jc w:val="center"/>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lang w:val="en-US" w:eastAsia="zh-CN" w:bidi="ar"/>
              </w:rPr>
              <w:t>8</w:t>
            </w:r>
          </w:p>
        </w:tc>
        <w:tc>
          <w:tcPr>
            <w:tcW w:w="3020" w:type="dxa"/>
            <w:noWrap/>
          </w:tcPr>
          <w:p>
            <w:pPr>
              <w:widowControl/>
              <w:ind w:firstLine="420" w:firstLineChars="0"/>
              <w:jc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42" w:type="dxa"/>
            <w:noWrap/>
            <w:vAlign w:val="center"/>
          </w:tcPr>
          <w:p>
            <w:pPr>
              <w:widowControl/>
              <w:spacing w:line="240" w:lineRule="auto"/>
              <w:ind w:firstLine="42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bidi="ar"/>
              </w:rPr>
              <w:t>选调生</w:t>
            </w:r>
          </w:p>
        </w:tc>
        <w:tc>
          <w:tcPr>
            <w:tcW w:w="2280" w:type="dxa"/>
            <w:noWrap/>
            <w:vAlign w:val="center"/>
          </w:tcPr>
          <w:p>
            <w:pPr>
              <w:widowControl/>
              <w:ind w:firstLine="420" w:firstLineChars="0"/>
              <w:jc w:val="center"/>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lang w:val="en-US" w:eastAsia="zh-CN" w:bidi="ar"/>
              </w:rPr>
              <w:t>9</w:t>
            </w:r>
          </w:p>
        </w:tc>
        <w:tc>
          <w:tcPr>
            <w:tcW w:w="3020" w:type="dxa"/>
            <w:noWrap/>
          </w:tcPr>
          <w:p>
            <w:pPr>
              <w:widowControl/>
              <w:ind w:firstLine="420" w:firstLineChars="0"/>
              <w:jc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42" w:type="dxa"/>
            <w:noWrap/>
            <w:vAlign w:val="center"/>
          </w:tcPr>
          <w:p>
            <w:pPr>
              <w:widowControl/>
              <w:spacing w:line="240" w:lineRule="auto"/>
              <w:ind w:firstLine="42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bidi="ar"/>
              </w:rPr>
              <w:t>应征义务兵</w:t>
            </w:r>
          </w:p>
        </w:tc>
        <w:tc>
          <w:tcPr>
            <w:tcW w:w="2280" w:type="dxa"/>
            <w:noWrap/>
            <w:vAlign w:val="center"/>
          </w:tcPr>
          <w:p>
            <w:pPr>
              <w:widowControl/>
              <w:ind w:firstLine="420" w:firstLineChars="0"/>
              <w:jc w:val="center"/>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lang w:val="en-US" w:eastAsia="zh-CN" w:bidi="ar"/>
              </w:rPr>
              <w:t>8</w:t>
            </w:r>
          </w:p>
        </w:tc>
        <w:tc>
          <w:tcPr>
            <w:tcW w:w="3020" w:type="dxa"/>
            <w:noWrap/>
          </w:tcPr>
          <w:p>
            <w:pPr>
              <w:widowControl/>
              <w:ind w:firstLine="420" w:firstLineChars="0"/>
              <w:jc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42" w:type="dxa"/>
            <w:noWrap/>
            <w:vAlign w:val="center"/>
          </w:tcPr>
          <w:p>
            <w:pPr>
              <w:widowControl/>
              <w:spacing w:line="240" w:lineRule="auto"/>
              <w:ind w:firstLine="42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bidi="ar"/>
              </w:rPr>
              <w:t>自由职业</w:t>
            </w:r>
          </w:p>
        </w:tc>
        <w:tc>
          <w:tcPr>
            <w:tcW w:w="2280" w:type="dxa"/>
            <w:noWrap/>
            <w:vAlign w:val="center"/>
          </w:tcPr>
          <w:p>
            <w:pPr>
              <w:widowControl/>
              <w:ind w:firstLine="42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bidi="ar"/>
              </w:rPr>
              <w:t>739</w:t>
            </w:r>
          </w:p>
        </w:tc>
        <w:tc>
          <w:tcPr>
            <w:tcW w:w="3020" w:type="dxa"/>
            <w:noWrap/>
          </w:tcPr>
          <w:p>
            <w:pPr>
              <w:widowControl/>
              <w:ind w:firstLine="420" w:firstLineChars="0"/>
              <w:jc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14.26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42" w:type="dxa"/>
            <w:noWrap/>
            <w:vAlign w:val="center"/>
          </w:tcPr>
          <w:p>
            <w:pPr>
              <w:widowControl/>
              <w:spacing w:line="240" w:lineRule="auto"/>
              <w:ind w:firstLine="42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bidi="ar"/>
              </w:rPr>
              <w:t>自主创业</w:t>
            </w:r>
          </w:p>
        </w:tc>
        <w:tc>
          <w:tcPr>
            <w:tcW w:w="2280" w:type="dxa"/>
            <w:noWrap/>
            <w:vAlign w:val="center"/>
          </w:tcPr>
          <w:p>
            <w:pPr>
              <w:widowControl/>
              <w:ind w:firstLine="42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bidi="ar"/>
              </w:rPr>
              <w:t>154</w:t>
            </w:r>
          </w:p>
        </w:tc>
        <w:tc>
          <w:tcPr>
            <w:tcW w:w="3020" w:type="dxa"/>
            <w:noWrap/>
          </w:tcPr>
          <w:p>
            <w:pPr>
              <w:widowControl/>
              <w:ind w:firstLine="420" w:firstLineChars="0"/>
              <w:jc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2.97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42" w:type="dxa"/>
            <w:noWrap/>
            <w:vAlign w:val="center"/>
          </w:tcPr>
          <w:p>
            <w:pPr>
              <w:widowControl/>
              <w:spacing w:line="240" w:lineRule="auto"/>
              <w:ind w:firstLine="42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bidi="ar"/>
              </w:rPr>
              <w:t>暂未落实</w:t>
            </w:r>
          </w:p>
        </w:tc>
        <w:tc>
          <w:tcPr>
            <w:tcW w:w="2280" w:type="dxa"/>
            <w:noWrap/>
            <w:vAlign w:val="center"/>
          </w:tcPr>
          <w:p>
            <w:pPr>
              <w:widowControl/>
              <w:ind w:firstLine="42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bidi="ar"/>
              </w:rPr>
              <w:t>261</w:t>
            </w:r>
          </w:p>
        </w:tc>
        <w:tc>
          <w:tcPr>
            <w:tcW w:w="3020" w:type="dxa"/>
            <w:noWrap/>
          </w:tcPr>
          <w:p>
            <w:pPr>
              <w:widowControl/>
              <w:ind w:firstLine="420" w:firstLineChars="0"/>
              <w:jc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5.03</w:t>
            </w:r>
          </w:p>
        </w:tc>
      </w:tr>
    </w:tbl>
    <w:p>
      <w:pPr>
        <w:pStyle w:val="2"/>
        <w:rPr>
          <w:rFonts w:ascii="黑体" w:hAnsi="黑体" w:cs="黑体"/>
          <w:color w:val="auto"/>
        </w:rPr>
      </w:pPr>
      <w:bookmarkStart w:id="293" w:name="_Toc25227"/>
      <w:bookmarkStart w:id="294" w:name="_Toc88219350"/>
      <w:bookmarkStart w:id="295" w:name="_Toc88218459"/>
      <w:bookmarkStart w:id="296" w:name="_Toc425"/>
      <w:bookmarkStart w:id="297" w:name="_Toc25249"/>
      <w:bookmarkStart w:id="298" w:name="_Toc89702838"/>
      <w:r>
        <w:rPr>
          <w:rFonts w:hint="eastAsia" w:ascii="黑体" w:hAnsi="黑体" w:cs="黑体"/>
          <w:color w:val="auto"/>
          <w:lang w:val="en-US" w:eastAsia="zh-CN"/>
        </w:rPr>
        <w:t>六、</w:t>
      </w:r>
      <w:r>
        <w:rPr>
          <w:rFonts w:hint="eastAsia" w:ascii="黑体" w:hAnsi="黑体" w:cs="黑体"/>
          <w:color w:val="auto"/>
        </w:rPr>
        <w:t xml:space="preserve"> 特色发展</w:t>
      </w:r>
      <w:bookmarkEnd w:id="293"/>
      <w:bookmarkEnd w:id="294"/>
      <w:bookmarkEnd w:id="295"/>
      <w:bookmarkEnd w:id="296"/>
      <w:bookmarkEnd w:id="297"/>
      <w:bookmarkEnd w:id="298"/>
    </w:p>
    <w:p>
      <w:pPr>
        <w:pStyle w:val="3"/>
        <w:spacing w:before="156" w:after="156"/>
        <w:rPr>
          <w:rFonts w:ascii="黑体" w:hAnsi="黑体" w:eastAsia="黑体"/>
          <w:color w:val="auto"/>
          <w:sz w:val="28"/>
        </w:rPr>
      </w:pPr>
      <w:bookmarkStart w:id="299" w:name="_Toc88218460"/>
      <w:bookmarkStart w:id="300" w:name="_Toc30090"/>
      <w:bookmarkStart w:id="301" w:name="_Toc12367"/>
      <w:bookmarkStart w:id="302" w:name="_Toc88219351"/>
      <w:bookmarkStart w:id="303" w:name="_Toc89702839"/>
      <w:bookmarkStart w:id="304" w:name="_Toc6343"/>
      <w:r>
        <w:rPr>
          <w:rFonts w:hint="eastAsia" w:ascii="黑体" w:hAnsi="黑体" w:eastAsia="黑体"/>
          <w:color w:val="auto"/>
          <w:sz w:val="28"/>
          <w:lang w:eastAsia="zh-CN"/>
        </w:rPr>
        <w:t>（</w:t>
      </w:r>
      <w:r>
        <w:rPr>
          <w:rFonts w:hint="eastAsia" w:ascii="黑体" w:hAnsi="黑体" w:eastAsia="黑体"/>
          <w:color w:val="auto"/>
          <w:sz w:val="28"/>
          <w:lang w:val="en-US" w:eastAsia="zh-CN"/>
        </w:rPr>
        <w:t>一</w:t>
      </w:r>
      <w:r>
        <w:rPr>
          <w:rFonts w:hint="eastAsia" w:ascii="黑体" w:hAnsi="黑体" w:eastAsia="黑体"/>
          <w:color w:val="auto"/>
          <w:sz w:val="28"/>
          <w:lang w:eastAsia="zh-CN"/>
        </w:rPr>
        <w:t>）</w:t>
      </w:r>
      <w:r>
        <w:rPr>
          <w:rFonts w:hint="eastAsia" w:ascii="黑体" w:hAnsi="黑体" w:eastAsia="黑体"/>
          <w:color w:val="auto"/>
          <w:sz w:val="28"/>
        </w:rPr>
        <w:t>深化课程资源建设，推进“互联网+”教学改革</w:t>
      </w:r>
      <w:bookmarkEnd w:id="299"/>
      <w:bookmarkEnd w:id="300"/>
      <w:bookmarkEnd w:id="301"/>
      <w:bookmarkEnd w:id="302"/>
      <w:bookmarkEnd w:id="303"/>
      <w:bookmarkEnd w:id="304"/>
    </w:p>
    <w:p>
      <w:pPr>
        <w:ind w:firstLine="480"/>
        <w:rPr>
          <w:rFonts w:ascii="宋体" w:hAnsi="宋体" w:cs="宋体"/>
          <w:color w:val="auto"/>
        </w:rPr>
      </w:pPr>
      <w:r>
        <w:rPr>
          <w:rFonts w:hint="eastAsia" w:ascii="宋体" w:hAnsi="宋体" w:cs="宋体"/>
          <w:color w:val="auto"/>
        </w:rPr>
        <w:t>学校全面落实《浙江省教育厅关于加快推进普通高校“互联网+教学”的指导意见》文件精神，以课程资源建设为抓手，</w:t>
      </w:r>
      <w:r>
        <w:rPr>
          <w:rFonts w:ascii="宋体" w:hAnsi="宋体" w:cs="宋体"/>
          <w:color w:val="auto"/>
        </w:rPr>
        <w:t>通过自建、引进、共享</w:t>
      </w:r>
      <w:r>
        <w:rPr>
          <w:rFonts w:hint="eastAsia" w:ascii="宋体" w:hAnsi="宋体" w:cs="宋体"/>
          <w:color w:val="auto"/>
        </w:rPr>
        <w:t>等</w:t>
      </w:r>
      <w:r>
        <w:rPr>
          <w:rFonts w:ascii="宋体" w:hAnsi="宋体" w:cs="宋体"/>
          <w:color w:val="auto"/>
        </w:rPr>
        <w:t>方式</w:t>
      </w:r>
      <w:r>
        <w:rPr>
          <w:rFonts w:hint="eastAsia" w:ascii="宋体" w:hAnsi="宋体" w:cs="宋体"/>
          <w:color w:val="auto"/>
        </w:rPr>
        <w:t>，</w:t>
      </w:r>
      <w:r>
        <w:rPr>
          <w:rFonts w:ascii="宋体" w:hAnsi="宋体" w:cs="宋体"/>
          <w:color w:val="auto"/>
        </w:rPr>
        <w:t>汇聚优质教学资源</w:t>
      </w:r>
      <w:r>
        <w:rPr>
          <w:rFonts w:hint="eastAsia" w:ascii="宋体" w:hAnsi="宋体" w:cs="宋体"/>
          <w:color w:val="auto"/>
        </w:rPr>
        <w:t>，自建精品在线开放课程173门；推动教师利用在线开放课程资源创新课堂教学，开展</w:t>
      </w:r>
      <w:r>
        <w:rPr>
          <w:rFonts w:ascii="宋体" w:hAnsi="宋体" w:cs="宋体"/>
          <w:color w:val="auto"/>
        </w:rPr>
        <w:t>翻转</w:t>
      </w:r>
      <w:r>
        <w:rPr>
          <w:rFonts w:hint="eastAsia" w:ascii="宋体" w:hAnsi="宋体" w:cs="宋体"/>
          <w:color w:val="auto"/>
        </w:rPr>
        <w:t>课堂、研讨式教学等教学方法改革；探索基于云计算、大数据的精准教学，加强个性化学习资源配置，大力推进“互联网+教学”改革。目前，学校</w:t>
      </w:r>
      <w:r>
        <w:rPr>
          <w:rFonts w:hint="eastAsia" w:ascii="宋体" w:hAnsi="宋体" w:cs="宋体"/>
          <w:color w:val="auto"/>
          <w:lang w:val="en-US" w:eastAsia="zh-CN"/>
        </w:rPr>
        <w:t>已</w:t>
      </w:r>
      <w:r>
        <w:rPr>
          <w:rFonts w:hint="eastAsia" w:ascii="宋体" w:hAnsi="宋体" w:cs="宋体"/>
          <w:color w:val="auto"/>
        </w:rPr>
        <w:t>获国家级一流本科课程</w:t>
      </w:r>
      <w:r>
        <w:rPr>
          <w:rFonts w:hint="eastAsia" w:ascii="宋体" w:hAnsi="宋体" w:cs="宋体"/>
          <w:color w:val="auto"/>
          <w:lang w:val="en-US" w:eastAsia="zh-CN"/>
        </w:rPr>
        <w:t>13</w:t>
      </w:r>
      <w:r>
        <w:rPr>
          <w:rFonts w:hint="eastAsia" w:ascii="宋体" w:hAnsi="宋体" w:cs="宋体"/>
          <w:color w:val="auto"/>
        </w:rPr>
        <w:t>门，省级一流本科课程161门。</w:t>
      </w:r>
    </w:p>
    <w:p>
      <w:pPr>
        <w:pStyle w:val="3"/>
        <w:spacing w:before="156" w:after="156"/>
        <w:rPr>
          <w:rFonts w:ascii="黑体" w:hAnsi="黑体" w:eastAsia="黑体"/>
          <w:color w:val="auto"/>
          <w:sz w:val="28"/>
        </w:rPr>
      </w:pPr>
      <w:bookmarkStart w:id="305" w:name="_Toc89702840"/>
      <w:bookmarkStart w:id="306" w:name="_Toc13627"/>
      <w:bookmarkStart w:id="307" w:name="_Toc29829"/>
      <w:bookmarkStart w:id="308" w:name="_Toc88218461"/>
      <w:bookmarkStart w:id="309" w:name="_Toc88219352"/>
      <w:bookmarkStart w:id="310" w:name="_Toc22291"/>
      <w:r>
        <w:rPr>
          <w:rFonts w:hint="eastAsia" w:ascii="黑体" w:hAnsi="黑体" w:eastAsia="黑体"/>
          <w:color w:val="auto"/>
          <w:sz w:val="28"/>
          <w:lang w:eastAsia="zh-CN"/>
        </w:rPr>
        <w:t>（</w:t>
      </w:r>
      <w:r>
        <w:rPr>
          <w:rFonts w:hint="eastAsia" w:ascii="黑体" w:hAnsi="黑体" w:eastAsia="黑体"/>
          <w:color w:val="auto"/>
          <w:sz w:val="28"/>
          <w:lang w:val="en-US" w:eastAsia="zh-CN"/>
        </w:rPr>
        <w:t>二</w:t>
      </w:r>
      <w:r>
        <w:rPr>
          <w:rFonts w:hint="eastAsia" w:ascii="黑体" w:hAnsi="黑体" w:eastAsia="黑体"/>
          <w:color w:val="auto"/>
          <w:sz w:val="28"/>
          <w:lang w:eastAsia="zh-CN"/>
        </w:rPr>
        <w:t>）</w:t>
      </w:r>
      <w:r>
        <w:rPr>
          <w:rFonts w:hint="eastAsia" w:ascii="黑体" w:hAnsi="黑体" w:eastAsia="黑体"/>
          <w:color w:val="auto"/>
          <w:sz w:val="28"/>
        </w:rPr>
        <w:t>以专业认证为契机，推进一流本科专业建设</w:t>
      </w:r>
      <w:bookmarkEnd w:id="305"/>
      <w:bookmarkEnd w:id="306"/>
      <w:bookmarkEnd w:id="307"/>
      <w:bookmarkEnd w:id="308"/>
      <w:bookmarkEnd w:id="309"/>
      <w:bookmarkEnd w:id="310"/>
    </w:p>
    <w:p>
      <w:pPr>
        <w:ind w:firstLine="480"/>
        <w:rPr>
          <w:rFonts w:ascii="宋体" w:hAnsi="宋体" w:cs="宋体"/>
          <w:color w:val="auto"/>
        </w:rPr>
      </w:pPr>
      <w:r>
        <w:rPr>
          <w:rFonts w:hint="eastAsia" w:ascii="宋体" w:hAnsi="宋体" w:cs="宋体"/>
          <w:color w:val="auto"/>
        </w:rPr>
        <w:t>学校按照“学生中心、产出导向、持续改进”的基本理念，以“双万计划”一流本科专业建设为契机，按照新工科、新文科等“四新”建设要求，大力推进师范专业、工程教育专业等专业认证工作，推动各专业基于OBE理念开展内涵建设，深化专业人才培养模式改革，促进专业完善持续改进机制，不断提升人才培养质量。</w:t>
      </w:r>
      <w:r>
        <w:rPr>
          <w:rFonts w:ascii="宋体" w:hAnsi="宋体" w:eastAsia="宋体" w:cs="宋体"/>
          <w:color w:val="auto"/>
          <w:sz w:val="24"/>
          <w:szCs w:val="24"/>
          <w:highlight w:val="none"/>
        </w:rPr>
        <w:t>目前，小学教育、英语、汉语言文学、历史学、生物科学、数学与应用数学、化学、学前教育、物理学、思想政治教育、体育教育、教育技术学等12个专业通过了教育部师范专业二级认证；2023年特殊教育、武术与民族传统体育、美术学、科学教育等4个专业接受了师范专业认证专家组现场考察</w:t>
      </w:r>
      <w:r>
        <w:rPr>
          <w:rFonts w:hint="eastAsia" w:ascii="宋体" w:hAnsi="宋体" w:cs="宋体"/>
          <w:color w:val="auto"/>
          <w:highlight w:val="none"/>
        </w:rPr>
        <w:t>。</w:t>
      </w:r>
      <w:r>
        <w:rPr>
          <w:rFonts w:hint="eastAsia" w:ascii="宋体" w:hAnsi="宋体" w:cs="宋体"/>
          <w:color w:val="auto"/>
        </w:rPr>
        <w:t>目前，27个专业获得国家级一流本科专业建设点，16个专业获得省一流本科专业建设点。</w:t>
      </w:r>
    </w:p>
    <w:p>
      <w:pPr>
        <w:pStyle w:val="2"/>
        <w:rPr>
          <w:rFonts w:ascii="黑体" w:hAnsi="黑体" w:cs="黑体"/>
          <w:color w:val="auto"/>
        </w:rPr>
      </w:pPr>
      <w:bookmarkStart w:id="311" w:name="_Toc857"/>
      <w:bookmarkStart w:id="312" w:name="_Toc16911"/>
      <w:bookmarkStart w:id="313" w:name="_Toc88219353"/>
      <w:bookmarkStart w:id="314" w:name="_Toc89702841"/>
      <w:bookmarkStart w:id="315" w:name="_Toc21158"/>
      <w:bookmarkStart w:id="316" w:name="_Toc88218462"/>
      <w:r>
        <w:rPr>
          <w:rFonts w:hint="eastAsia" w:ascii="黑体" w:hAnsi="黑体" w:cs="黑体"/>
          <w:color w:val="auto"/>
          <w:lang w:val="en-US" w:eastAsia="zh-CN"/>
        </w:rPr>
        <w:t>七、</w:t>
      </w:r>
      <w:r>
        <w:rPr>
          <w:rFonts w:hint="eastAsia" w:ascii="黑体" w:hAnsi="黑体" w:cs="黑体"/>
          <w:color w:val="auto"/>
        </w:rPr>
        <w:t>存在问题和改进计划</w:t>
      </w:r>
      <w:bookmarkEnd w:id="311"/>
      <w:bookmarkEnd w:id="312"/>
      <w:bookmarkEnd w:id="313"/>
      <w:bookmarkEnd w:id="314"/>
      <w:bookmarkEnd w:id="315"/>
      <w:bookmarkEnd w:id="316"/>
    </w:p>
    <w:p>
      <w:pPr>
        <w:pStyle w:val="3"/>
        <w:spacing w:before="156" w:after="156"/>
        <w:rPr>
          <w:rFonts w:ascii="黑体" w:hAnsi="黑体" w:eastAsia="黑体"/>
          <w:color w:val="auto"/>
          <w:sz w:val="28"/>
        </w:rPr>
      </w:pPr>
      <w:bookmarkStart w:id="317" w:name="_Toc88218463"/>
      <w:bookmarkStart w:id="318" w:name="_Toc7742"/>
      <w:bookmarkStart w:id="319" w:name="_Toc29310"/>
      <w:bookmarkStart w:id="320" w:name="_Toc89702842"/>
      <w:bookmarkStart w:id="321" w:name="_Toc88219354"/>
      <w:bookmarkStart w:id="322" w:name="_Toc22656"/>
      <w:r>
        <w:rPr>
          <w:rFonts w:hint="eastAsia" w:ascii="黑体" w:hAnsi="黑体" w:eastAsia="黑体"/>
          <w:color w:val="auto"/>
          <w:sz w:val="28"/>
          <w:lang w:eastAsia="zh-CN"/>
        </w:rPr>
        <w:t>（</w:t>
      </w:r>
      <w:r>
        <w:rPr>
          <w:rFonts w:hint="eastAsia" w:ascii="黑体" w:hAnsi="黑体" w:eastAsia="黑体"/>
          <w:color w:val="auto"/>
          <w:sz w:val="28"/>
          <w:lang w:val="en-US" w:eastAsia="zh-CN"/>
        </w:rPr>
        <w:t>一</w:t>
      </w:r>
      <w:r>
        <w:rPr>
          <w:rFonts w:hint="eastAsia" w:ascii="黑体" w:hAnsi="黑体" w:eastAsia="黑体"/>
          <w:color w:val="auto"/>
          <w:sz w:val="28"/>
          <w:lang w:eastAsia="zh-CN"/>
        </w:rPr>
        <w:t>）</w:t>
      </w:r>
      <w:r>
        <w:rPr>
          <w:rFonts w:hint="eastAsia" w:ascii="黑体" w:hAnsi="黑体" w:eastAsia="黑体"/>
          <w:color w:val="auto"/>
          <w:sz w:val="28"/>
        </w:rPr>
        <w:t>教育国际化水平有待提升</w:t>
      </w:r>
      <w:bookmarkEnd w:id="317"/>
      <w:bookmarkEnd w:id="318"/>
      <w:bookmarkEnd w:id="319"/>
      <w:bookmarkEnd w:id="320"/>
      <w:bookmarkEnd w:id="321"/>
      <w:bookmarkEnd w:id="322"/>
    </w:p>
    <w:p>
      <w:pPr>
        <w:ind w:firstLine="480"/>
        <w:rPr>
          <w:rFonts w:ascii="宋体" w:hAnsi="宋体" w:cs="宋体"/>
          <w:color w:val="auto"/>
        </w:rPr>
      </w:pPr>
      <w:r>
        <w:rPr>
          <w:rFonts w:hint="eastAsia" w:ascii="宋体" w:hAnsi="宋体" w:cs="宋体"/>
          <w:color w:val="auto"/>
        </w:rPr>
        <w:t>学校教育国际化整体水平有待提升，教育国际化在人才培养、科学研究和社会服务中的作用也有待加强。受疫情影响，学校对外活动减少，国际交流合作项目数呈下降趋势。下一步，</w:t>
      </w:r>
      <w:r>
        <w:rPr>
          <w:rFonts w:hint="eastAsia" w:ascii="宋体" w:hAnsi="宋体" w:cs="宋体"/>
          <w:color w:val="auto"/>
          <w:lang w:val="en-US" w:eastAsia="zh-CN"/>
        </w:rPr>
        <w:t>学校将以</w:t>
      </w:r>
      <w:r>
        <w:rPr>
          <w:rFonts w:hint="eastAsia" w:ascii="宋体" w:hAnsi="宋体" w:cs="宋体"/>
          <w:color w:val="auto"/>
          <w:kern w:val="0"/>
        </w:rPr>
        <w:t>教育部来华留学质量认证和教育部中外合作办学质量认证</w:t>
      </w:r>
      <w:r>
        <w:rPr>
          <w:rFonts w:hint="eastAsia" w:ascii="宋体" w:hAnsi="宋体" w:cs="宋体"/>
          <w:color w:val="auto"/>
          <w:kern w:val="0"/>
          <w:lang w:val="en-US" w:eastAsia="zh-CN"/>
        </w:rPr>
        <w:t>等工作为契机</w:t>
      </w:r>
      <w:r>
        <w:rPr>
          <w:rFonts w:hint="eastAsia" w:ascii="宋体" w:hAnsi="宋体" w:cs="宋体"/>
          <w:color w:val="auto"/>
          <w:kern w:val="0"/>
        </w:rPr>
        <w:t>，</w:t>
      </w:r>
      <w:r>
        <w:rPr>
          <w:rFonts w:hint="eastAsia" w:ascii="宋体" w:hAnsi="宋体" w:cs="宋体"/>
          <w:color w:val="auto"/>
        </w:rPr>
        <w:t>创新合作模式，进一步提升留学生生源质量；继续实施“师从名师”海外研修计划，加快提升师资国际化水平；开展全英文授课课程建设，进一步推动课程国际化发展。</w:t>
      </w:r>
    </w:p>
    <w:p>
      <w:pPr>
        <w:pStyle w:val="3"/>
        <w:spacing w:before="156" w:after="156"/>
        <w:rPr>
          <w:rFonts w:ascii="黑体" w:hAnsi="黑体" w:eastAsia="黑体"/>
          <w:color w:val="auto"/>
          <w:sz w:val="28"/>
        </w:rPr>
      </w:pPr>
      <w:bookmarkStart w:id="323" w:name="_Toc16733"/>
      <w:bookmarkStart w:id="324" w:name="_Toc88219355"/>
      <w:bookmarkStart w:id="325" w:name="_Toc89702843"/>
      <w:bookmarkStart w:id="326" w:name="_Toc9557"/>
      <w:bookmarkStart w:id="327" w:name="_Toc88218464"/>
      <w:bookmarkStart w:id="328" w:name="_Toc31087"/>
      <w:bookmarkStart w:id="329" w:name="_Toc533613938"/>
      <w:r>
        <w:rPr>
          <w:rFonts w:hint="eastAsia" w:ascii="黑体" w:hAnsi="黑体" w:eastAsia="黑体"/>
          <w:color w:val="auto"/>
          <w:sz w:val="28"/>
          <w:lang w:eastAsia="zh-CN"/>
        </w:rPr>
        <w:t>（</w:t>
      </w:r>
      <w:r>
        <w:rPr>
          <w:rFonts w:hint="eastAsia" w:ascii="黑体" w:hAnsi="黑体" w:eastAsia="黑体"/>
          <w:color w:val="auto"/>
          <w:sz w:val="28"/>
          <w:lang w:val="en-US" w:eastAsia="zh-CN"/>
        </w:rPr>
        <w:t>二</w:t>
      </w:r>
      <w:r>
        <w:rPr>
          <w:rFonts w:hint="eastAsia" w:ascii="黑体" w:hAnsi="黑体" w:eastAsia="黑体"/>
          <w:color w:val="auto"/>
          <w:sz w:val="28"/>
          <w:lang w:eastAsia="zh-CN"/>
        </w:rPr>
        <w:t>）</w:t>
      </w:r>
      <w:r>
        <w:rPr>
          <w:rFonts w:hint="eastAsia" w:ascii="黑体" w:hAnsi="黑体" w:eastAsia="黑体"/>
          <w:color w:val="auto"/>
          <w:sz w:val="28"/>
        </w:rPr>
        <w:t>教学质量监控体系有待完善</w:t>
      </w:r>
      <w:bookmarkEnd w:id="323"/>
      <w:bookmarkEnd w:id="324"/>
      <w:bookmarkEnd w:id="325"/>
      <w:bookmarkEnd w:id="326"/>
      <w:bookmarkEnd w:id="327"/>
      <w:bookmarkEnd w:id="328"/>
    </w:p>
    <w:p>
      <w:pPr>
        <w:ind w:firstLine="480" w:firstLineChars="200"/>
        <w:jc w:val="left"/>
        <w:rPr>
          <w:rFonts w:hint="eastAsia" w:ascii="宋体" w:hAnsi="宋体" w:cs="宋体"/>
          <w:color w:val="auto"/>
          <w:kern w:val="0"/>
        </w:rPr>
      </w:pPr>
      <w:r>
        <w:rPr>
          <w:rFonts w:hint="eastAsia" w:ascii="宋体" w:hAnsi="宋体" w:cs="宋体"/>
          <w:color w:val="auto"/>
        </w:rPr>
        <w:t>随着“互联网+”教学的深入推进，教学质量监控体系，特别是线上线下混合式教学的评价标准、评价方式、组织管理、质量监控等有待进一步完善。下一步，</w:t>
      </w:r>
      <w:r>
        <w:rPr>
          <w:rFonts w:hint="eastAsia" w:ascii="宋体" w:hAnsi="宋体" w:cs="宋体"/>
          <w:color w:val="auto"/>
          <w:kern w:val="0"/>
          <w:lang w:val="en-US" w:eastAsia="zh-CN"/>
        </w:rPr>
        <w:t>学校将结合新一轮</w:t>
      </w:r>
      <w:r>
        <w:rPr>
          <w:rFonts w:hint="eastAsia" w:ascii="宋体" w:hAnsi="宋体" w:cs="宋体"/>
          <w:color w:val="auto"/>
          <w:kern w:val="0"/>
        </w:rPr>
        <w:t>本科</w:t>
      </w:r>
      <w:r>
        <w:rPr>
          <w:rFonts w:hint="eastAsia" w:ascii="宋体" w:hAnsi="宋体" w:cs="宋体"/>
          <w:color w:val="auto"/>
          <w:kern w:val="0"/>
          <w:lang w:val="en-US" w:eastAsia="zh-CN"/>
        </w:rPr>
        <w:t>教育教学</w:t>
      </w:r>
      <w:r>
        <w:rPr>
          <w:rFonts w:hint="eastAsia" w:ascii="宋体" w:hAnsi="宋体" w:cs="宋体"/>
          <w:color w:val="auto"/>
          <w:kern w:val="0"/>
        </w:rPr>
        <w:t>评估</w:t>
      </w:r>
      <w:r>
        <w:rPr>
          <w:rFonts w:hint="eastAsia" w:ascii="宋体" w:hAnsi="宋体" w:cs="宋体"/>
          <w:color w:val="auto"/>
          <w:kern w:val="0"/>
          <w:lang w:eastAsia="zh-CN"/>
        </w:rPr>
        <w:t>，</w:t>
      </w:r>
      <w:r>
        <w:rPr>
          <w:rFonts w:hint="eastAsia" w:ascii="宋体" w:hAnsi="宋体" w:cs="宋体"/>
          <w:color w:val="auto"/>
          <w:kern w:val="0"/>
          <w:lang w:val="en-US" w:eastAsia="zh-CN"/>
        </w:rPr>
        <w:t>进一步</w:t>
      </w:r>
      <w:r>
        <w:rPr>
          <w:rFonts w:hint="eastAsia" w:ascii="宋体" w:hAnsi="宋体" w:cs="宋体"/>
          <w:color w:val="auto"/>
          <w:kern w:val="0"/>
        </w:rPr>
        <w:t>总结办学成果，</w:t>
      </w:r>
      <w:r>
        <w:rPr>
          <w:rFonts w:hint="eastAsia" w:ascii="宋体" w:hAnsi="宋体" w:cs="宋体"/>
          <w:color w:val="auto"/>
          <w:kern w:val="0"/>
          <w:lang w:val="en-US" w:eastAsia="zh-CN"/>
        </w:rPr>
        <w:t>优化专业布局，</w:t>
      </w:r>
      <w:r>
        <w:rPr>
          <w:rFonts w:hint="eastAsia" w:ascii="宋体" w:hAnsi="宋体" w:cs="宋体"/>
          <w:color w:val="auto"/>
          <w:kern w:val="0"/>
        </w:rPr>
        <w:t>抓好整改落实，</w:t>
      </w:r>
      <w:r>
        <w:rPr>
          <w:rFonts w:hint="eastAsia" w:ascii="宋体" w:hAnsi="宋体" w:cs="宋体"/>
          <w:color w:val="auto"/>
          <w:kern w:val="0"/>
          <w:lang w:val="en-US" w:eastAsia="zh-CN"/>
        </w:rPr>
        <w:t>完善</w:t>
      </w:r>
      <w:r>
        <w:rPr>
          <w:rFonts w:hint="eastAsia" w:ascii="宋体" w:hAnsi="宋体" w:cs="宋体"/>
          <w:color w:val="auto"/>
          <w:kern w:val="0"/>
        </w:rPr>
        <w:t>人才培养方案和培养模式</w:t>
      </w:r>
      <w:r>
        <w:rPr>
          <w:rFonts w:hint="eastAsia" w:ascii="宋体" w:hAnsi="宋体" w:cs="宋体"/>
          <w:color w:val="auto"/>
          <w:kern w:val="0"/>
          <w:lang w:eastAsia="zh-CN"/>
        </w:rPr>
        <w:t>；</w:t>
      </w:r>
      <w:r>
        <w:rPr>
          <w:rFonts w:hint="eastAsia" w:ascii="宋体" w:hAnsi="宋体" w:cs="宋体"/>
          <w:color w:val="auto"/>
          <w:kern w:val="0"/>
          <w:lang w:val="en-US" w:eastAsia="zh-CN"/>
        </w:rPr>
        <w:t>以各类学科竞赛、职业生涯规划为抓手，推进学生科研创新能力和就业竞争力提升；</w:t>
      </w:r>
      <w:r>
        <w:rPr>
          <w:rFonts w:hint="eastAsia" w:ascii="宋体" w:hAnsi="宋体" w:cs="宋体"/>
          <w:color w:val="auto"/>
        </w:rPr>
        <w:t>加强对教师进行基于大数据的教学效果统计分析方面的培训，使教师能够及时跟踪和分析学生学习情况，适时改进教学方法。利用智慧校园建设，采集教学状态数据，科学评估教学质量存在问题，及时指导教师改进内容方法，个性引导学生促进全面发展，促进教学管理的精细化、智慧化，建立“技术-制度-管理-服务”协调联动的教学质量监控体系。</w:t>
      </w:r>
    </w:p>
    <w:p>
      <w:pPr>
        <w:ind w:firstLine="0" w:firstLineChars="0"/>
        <w:jc w:val="left"/>
        <w:rPr>
          <w:rFonts w:hint="eastAsia" w:ascii="宋体" w:hAnsi="宋体" w:cs="宋体"/>
          <w:color w:val="auto"/>
          <w:kern w:val="0"/>
        </w:rPr>
      </w:pPr>
    </w:p>
    <w:p>
      <w:pPr>
        <w:ind w:firstLine="0" w:firstLineChars="0"/>
        <w:jc w:val="left"/>
        <w:rPr>
          <w:rFonts w:hint="eastAsia" w:ascii="宋体" w:hAnsi="宋体" w:cs="宋体"/>
          <w:color w:val="auto"/>
          <w:kern w:val="0"/>
        </w:rPr>
      </w:pPr>
    </w:p>
    <w:p>
      <w:pPr>
        <w:ind w:firstLine="0" w:firstLineChars="0"/>
        <w:jc w:val="left"/>
        <w:rPr>
          <w:rFonts w:hint="eastAsia" w:ascii="宋体" w:hAnsi="宋体" w:cs="宋体"/>
          <w:color w:val="auto"/>
          <w:kern w:val="0"/>
        </w:rPr>
      </w:pPr>
    </w:p>
    <w:p>
      <w:pPr>
        <w:ind w:firstLine="0" w:firstLineChars="0"/>
        <w:jc w:val="left"/>
        <w:rPr>
          <w:rFonts w:hint="eastAsia" w:ascii="宋体" w:hAnsi="宋体" w:cs="宋体"/>
          <w:color w:val="auto"/>
          <w:kern w:val="0"/>
        </w:rPr>
      </w:pPr>
    </w:p>
    <w:p>
      <w:pPr>
        <w:ind w:firstLine="0" w:firstLineChars="0"/>
        <w:jc w:val="left"/>
        <w:rPr>
          <w:rFonts w:hint="eastAsia" w:ascii="宋体" w:hAnsi="宋体" w:cs="宋体"/>
          <w:color w:val="auto"/>
          <w:kern w:val="0"/>
        </w:rPr>
      </w:pPr>
    </w:p>
    <w:p>
      <w:pPr>
        <w:ind w:firstLine="0" w:firstLineChars="0"/>
        <w:jc w:val="left"/>
        <w:rPr>
          <w:rFonts w:hint="eastAsia" w:ascii="宋体" w:hAnsi="宋体" w:cs="宋体"/>
          <w:color w:val="auto"/>
          <w:kern w:val="0"/>
        </w:rPr>
      </w:pPr>
    </w:p>
    <w:p>
      <w:pPr>
        <w:ind w:firstLine="0" w:firstLineChars="0"/>
        <w:jc w:val="left"/>
        <w:rPr>
          <w:rFonts w:hint="eastAsia" w:ascii="宋体" w:hAnsi="宋体" w:cs="宋体"/>
          <w:color w:val="auto"/>
          <w:kern w:val="0"/>
        </w:rPr>
      </w:pPr>
    </w:p>
    <w:p>
      <w:pPr>
        <w:ind w:firstLine="0" w:firstLineChars="0"/>
        <w:jc w:val="left"/>
        <w:rPr>
          <w:rFonts w:hint="eastAsia" w:ascii="宋体" w:hAnsi="宋体" w:cs="宋体"/>
          <w:color w:val="auto"/>
          <w:kern w:val="0"/>
        </w:rPr>
      </w:pPr>
    </w:p>
    <w:p>
      <w:pPr>
        <w:ind w:firstLine="0" w:firstLineChars="0"/>
        <w:jc w:val="left"/>
        <w:rPr>
          <w:rFonts w:hint="eastAsia" w:ascii="宋体" w:hAnsi="宋体" w:cs="宋体"/>
          <w:color w:val="auto"/>
          <w:kern w:val="0"/>
        </w:rPr>
      </w:pPr>
    </w:p>
    <w:p>
      <w:pPr>
        <w:ind w:firstLine="0" w:firstLineChars="0"/>
        <w:jc w:val="left"/>
        <w:rPr>
          <w:rFonts w:hint="eastAsia" w:ascii="宋体" w:hAnsi="宋体" w:cs="宋体"/>
          <w:color w:val="auto"/>
          <w:kern w:val="0"/>
        </w:rPr>
      </w:pPr>
    </w:p>
    <w:p>
      <w:pPr>
        <w:ind w:firstLine="0" w:firstLineChars="0"/>
        <w:jc w:val="left"/>
        <w:rPr>
          <w:rFonts w:hint="eastAsia" w:ascii="宋体" w:hAnsi="宋体" w:cs="宋体"/>
          <w:color w:val="auto"/>
          <w:kern w:val="0"/>
        </w:rPr>
      </w:pPr>
    </w:p>
    <w:p>
      <w:pPr>
        <w:ind w:firstLine="0" w:firstLineChars="0"/>
        <w:jc w:val="left"/>
        <w:rPr>
          <w:rFonts w:hint="eastAsia" w:ascii="宋体" w:hAnsi="宋体" w:cs="宋体"/>
          <w:color w:val="auto"/>
          <w:kern w:val="0"/>
        </w:rPr>
      </w:pPr>
    </w:p>
    <w:p>
      <w:pPr>
        <w:ind w:firstLine="0" w:firstLineChars="0"/>
        <w:jc w:val="left"/>
        <w:rPr>
          <w:rFonts w:hint="eastAsia" w:ascii="宋体" w:hAnsi="宋体" w:cs="宋体"/>
          <w:color w:val="auto"/>
          <w:kern w:val="0"/>
        </w:rPr>
      </w:pPr>
    </w:p>
    <w:p>
      <w:pPr>
        <w:ind w:firstLine="0" w:firstLineChars="0"/>
        <w:jc w:val="left"/>
        <w:rPr>
          <w:rFonts w:hint="eastAsia" w:ascii="宋体" w:hAnsi="宋体" w:cs="宋体"/>
          <w:color w:val="auto"/>
          <w:kern w:val="0"/>
        </w:rPr>
      </w:pPr>
    </w:p>
    <w:p>
      <w:pPr>
        <w:ind w:firstLine="0" w:firstLineChars="0"/>
        <w:jc w:val="left"/>
        <w:rPr>
          <w:rFonts w:hint="eastAsia" w:ascii="宋体" w:hAnsi="宋体" w:cs="宋体"/>
          <w:color w:val="auto"/>
          <w:kern w:val="0"/>
        </w:rPr>
      </w:pPr>
    </w:p>
    <w:p>
      <w:pPr>
        <w:ind w:firstLine="0" w:firstLineChars="0"/>
        <w:jc w:val="left"/>
        <w:rPr>
          <w:rFonts w:hint="eastAsia" w:ascii="宋体" w:hAnsi="宋体" w:cs="宋体"/>
          <w:color w:val="auto"/>
          <w:kern w:val="0"/>
        </w:rPr>
      </w:pPr>
    </w:p>
    <w:p>
      <w:pPr>
        <w:ind w:firstLine="0" w:firstLineChars="0"/>
        <w:jc w:val="left"/>
        <w:rPr>
          <w:rFonts w:hint="eastAsia" w:ascii="宋体" w:hAnsi="宋体" w:cs="宋体"/>
          <w:color w:val="auto"/>
          <w:kern w:val="0"/>
        </w:rPr>
      </w:pPr>
    </w:p>
    <w:p>
      <w:pPr>
        <w:ind w:firstLine="0" w:firstLineChars="0"/>
        <w:jc w:val="left"/>
        <w:rPr>
          <w:rFonts w:hint="eastAsia" w:ascii="宋体" w:hAnsi="宋体" w:cs="宋体"/>
          <w:color w:val="auto"/>
          <w:kern w:val="0"/>
        </w:rPr>
      </w:pPr>
    </w:p>
    <w:p>
      <w:pPr>
        <w:ind w:firstLine="0" w:firstLineChars="0"/>
        <w:jc w:val="left"/>
        <w:rPr>
          <w:rFonts w:hint="eastAsia" w:ascii="宋体" w:hAnsi="宋体" w:cs="宋体"/>
          <w:color w:val="auto"/>
          <w:kern w:val="0"/>
        </w:rPr>
      </w:pPr>
    </w:p>
    <w:p>
      <w:pPr>
        <w:ind w:firstLine="0" w:firstLineChars="0"/>
        <w:jc w:val="left"/>
        <w:rPr>
          <w:rFonts w:hint="eastAsia" w:ascii="宋体" w:hAnsi="宋体" w:cs="宋体"/>
          <w:color w:val="auto"/>
          <w:kern w:val="0"/>
        </w:rPr>
      </w:pPr>
    </w:p>
    <w:p>
      <w:pPr>
        <w:ind w:firstLine="0" w:firstLineChars="0"/>
        <w:jc w:val="left"/>
        <w:rPr>
          <w:rFonts w:hint="eastAsia" w:ascii="宋体" w:hAnsi="宋体" w:cs="宋体"/>
          <w:color w:val="auto"/>
          <w:kern w:val="0"/>
        </w:rPr>
      </w:pPr>
    </w:p>
    <w:p>
      <w:pPr>
        <w:ind w:firstLine="0" w:firstLineChars="0"/>
        <w:jc w:val="left"/>
        <w:rPr>
          <w:rFonts w:hint="eastAsia" w:ascii="宋体" w:hAnsi="宋体" w:cs="宋体"/>
          <w:color w:val="auto"/>
          <w:kern w:val="0"/>
        </w:rPr>
      </w:pPr>
    </w:p>
    <w:p>
      <w:pPr>
        <w:ind w:firstLine="0" w:firstLineChars="0"/>
        <w:jc w:val="left"/>
        <w:rPr>
          <w:rFonts w:hint="eastAsia" w:ascii="宋体" w:hAnsi="宋体" w:cs="宋体"/>
          <w:color w:val="auto"/>
          <w:kern w:val="0"/>
        </w:rPr>
      </w:pPr>
    </w:p>
    <w:p>
      <w:pPr>
        <w:ind w:firstLine="0" w:firstLineChars="0"/>
        <w:jc w:val="left"/>
        <w:rPr>
          <w:rFonts w:hint="eastAsia" w:ascii="宋体" w:hAnsi="宋体" w:cs="宋体"/>
          <w:color w:val="auto"/>
          <w:kern w:val="0"/>
        </w:rPr>
      </w:pPr>
    </w:p>
    <w:p>
      <w:pPr>
        <w:ind w:firstLine="0" w:firstLineChars="0"/>
        <w:jc w:val="left"/>
        <w:rPr>
          <w:rFonts w:hint="eastAsia" w:ascii="宋体" w:hAnsi="宋体" w:cs="宋体"/>
          <w:color w:val="auto"/>
          <w:kern w:val="0"/>
        </w:rPr>
      </w:pPr>
    </w:p>
    <w:p>
      <w:pPr>
        <w:ind w:firstLine="0" w:firstLineChars="0"/>
        <w:jc w:val="left"/>
        <w:rPr>
          <w:rFonts w:hint="eastAsia" w:ascii="宋体" w:hAnsi="宋体" w:cs="宋体"/>
          <w:color w:val="auto"/>
          <w:kern w:val="0"/>
        </w:rPr>
      </w:pPr>
    </w:p>
    <w:p>
      <w:pPr>
        <w:ind w:firstLine="0" w:firstLineChars="0"/>
        <w:jc w:val="left"/>
        <w:rPr>
          <w:rFonts w:hint="eastAsia" w:ascii="宋体" w:hAnsi="宋体" w:cs="宋体"/>
          <w:color w:val="auto"/>
          <w:kern w:val="0"/>
        </w:rPr>
      </w:pPr>
    </w:p>
    <w:p>
      <w:pPr>
        <w:ind w:firstLine="0" w:firstLineChars="0"/>
        <w:jc w:val="left"/>
        <w:rPr>
          <w:rFonts w:hint="eastAsia" w:ascii="宋体" w:hAnsi="宋体" w:cs="宋体"/>
          <w:color w:val="auto"/>
          <w:kern w:val="0"/>
        </w:rPr>
      </w:pPr>
    </w:p>
    <w:p>
      <w:pPr>
        <w:ind w:firstLine="0" w:firstLineChars="0"/>
        <w:jc w:val="left"/>
        <w:rPr>
          <w:rFonts w:hint="eastAsia" w:ascii="宋体" w:hAnsi="宋体" w:cs="宋体"/>
          <w:color w:val="auto"/>
          <w:kern w:val="0"/>
        </w:rPr>
      </w:pPr>
    </w:p>
    <w:p>
      <w:pPr>
        <w:ind w:firstLine="0" w:firstLineChars="0"/>
        <w:jc w:val="left"/>
        <w:rPr>
          <w:rFonts w:hint="eastAsia" w:ascii="宋体" w:hAnsi="宋体" w:cs="宋体"/>
          <w:color w:val="auto"/>
          <w:kern w:val="0"/>
        </w:rPr>
      </w:pPr>
    </w:p>
    <w:p>
      <w:pPr>
        <w:ind w:firstLine="0" w:firstLineChars="0"/>
        <w:jc w:val="left"/>
        <w:rPr>
          <w:rFonts w:hint="eastAsia" w:ascii="宋体" w:hAnsi="宋体" w:cs="宋体"/>
          <w:color w:val="auto"/>
          <w:kern w:val="0"/>
        </w:rPr>
      </w:pPr>
    </w:p>
    <w:bookmarkEnd w:id="329"/>
    <w:p>
      <w:pPr>
        <w:pStyle w:val="5"/>
        <w:jc w:val="both"/>
        <w:rPr>
          <w:rFonts w:ascii="宋体" w:hAnsi="宋体" w:cs="宋体"/>
          <w:b w:val="0"/>
          <w:bCs w:val="0"/>
          <w:color w:val="auto"/>
        </w:rPr>
        <w:sectPr>
          <w:headerReference r:id="rId9" w:type="first"/>
          <w:footerReference r:id="rId12" w:type="first"/>
          <w:headerReference r:id="rId7" w:type="default"/>
          <w:footerReference r:id="rId10" w:type="default"/>
          <w:headerReference r:id="rId8" w:type="even"/>
          <w:footerReference r:id="rId11" w:type="even"/>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p>
    <w:p>
      <w:pPr>
        <w:ind w:firstLine="0" w:firstLineChars="0"/>
        <w:jc w:val="left"/>
        <w:rPr>
          <w:rFonts w:ascii="宋体" w:hAnsi="宋体" w:cs="宋体"/>
          <w:color w:val="auto"/>
          <w:kern w:val="0"/>
          <w:highlight w:val="none"/>
        </w:rPr>
      </w:pPr>
      <w:r>
        <w:rPr>
          <w:rFonts w:hint="eastAsia" w:ascii="宋体" w:hAnsi="宋体" w:cs="宋体"/>
          <w:color w:val="auto"/>
          <w:kern w:val="0"/>
          <w:highlight w:val="none"/>
        </w:rPr>
        <w:t>附表：</w:t>
      </w:r>
    </w:p>
    <w:p>
      <w:pPr>
        <w:ind w:firstLine="600"/>
        <w:jc w:val="center"/>
        <w:rPr>
          <w:rFonts w:ascii="黑体" w:hAnsi="黑体" w:eastAsia="黑体"/>
          <w:color w:val="auto"/>
          <w:kern w:val="0"/>
          <w:sz w:val="30"/>
          <w:szCs w:val="30"/>
          <w:highlight w:val="none"/>
        </w:rPr>
      </w:pPr>
      <w:r>
        <w:rPr>
          <w:rFonts w:hint="eastAsia" w:ascii="黑体" w:hAnsi="黑体" w:eastAsia="黑体"/>
          <w:color w:val="auto"/>
          <w:kern w:val="0"/>
          <w:sz w:val="30"/>
          <w:szCs w:val="30"/>
          <w:highlight w:val="none"/>
        </w:rPr>
        <w:t>杭州师范大学202</w:t>
      </w:r>
      <w:r>
        <w:rPr>
          <w:rFonts w:hint="eastAsia" w:ascii="黑体" w:hAnsi="黑体" w:eastAsia="黑体"/>
          <w:color w:val="auto"/>
          <w:kern w:val="0"/>
          <w:sz w:val="30"/>
          <w:szCs w:val="30"/>
          <w:highlight w:val="none"/>
          <w:lang w:val="en-US" w:eastAsia="zh-CN"/>
        </w:rPr>
        <w:t>2</w:t>
      </w:r>
      <w:r>
        <w:rPr>
          <w:rFonts w:hint="eastAsia" w:ascii="黑体" w:hAnsi="黑体" w:eastAsia="黑体"/>
          <w:color w:val="auto"/>
          <w:kern w:val="0"/>
          <w:sz w:val="30"/>
          <w:szCs w:val="30"/>
          <w:highlight w:val="none"/>
        </w:rPr>
        <w:t>-202</w:t>
      </w:r>
      <w:r>
        <w:rPr>
          <w:rFonts w:hint="eastAsia" w:ascii="黑体" w:hAnsi="黑体" w:eastAsia="黑体"/>
          <w:color w:val="auto"/>
          <w:kern w:val="0"/>
          <w:sz w:val="30"/>
          <w:szCs w:val="30"/>
          <w:highlight w:val="none"/>
          <w:lang w:val="en-US" w:eastAsia="zh-CN"/>
        </w:rPr>
        <w:t>3</w:t>
      </w:r>
      <w:r>
        <w:rPr>
          <w:rFonts w:hint="eastAsia" w:ascii="黑体" w:hAnsi="黑体" w:eastAsia="黑体"/>
          <w:color w:val="auto"/>
          <w:kern w:val="0"/>
          <w:sz w:val="30"/>
          <w:szCs w:val="30"/>
          <w:highlight w:val="none"/>
        </w:rPr>
        <w:t>学年本科教学质量</w:t>
      </w:r>
    </w:p>
    <w:p>
      <w:pPr>
        <w:pStyle w:val="2"/>
        <w:jc w:val="center"/>
        <w:rPr>
          <w:color w:val="auto"/>
          <w:kern w:val="0"/>
          <w:highlight w:val="none"/>
        </w:rPr>
      </w:pPr>
      <w:bookmarkStart w:id="330" w:name="_Toc88219356"/>
      <w:bookmarkStart w:id="331" w:name="_Toc89702844"/>
      <w:bookmarkStart w:id="332" w:name="_Toc5790"/>
      <w:bookmarkStart w:id="333" w:name="_Toc12780"/>
      <w:bookmarkStart w:id="334" w:name="_Toc9836"/>
      <w:r>
        <w:rPr>
          <w:rFonts w:hint="eastAsia"/>
          <w:color w:val="auto"/>
          <w:kern w:val="0"/>
          <w:highlight w:val="none"/>
        </w:rPr>
        <w:t>报告支撑数据表</w:t>
      </w:r>
      <w:bookmarkEnd w:id="330"/>
      <w:bookmarkEnd w:id="331"/>
      <w:bookmarkEnd w:id="332"/>
      <w:bookmarkEnd w:id="333"/>
      <w:bookmarkEnd w:id="334"/>
    </w:p>
    <w:p>
      <w:pPr>
        <w:pStyle w:val="3"/>
        <w:spacing w:before="156" w:after="156"/>
        <w:rPr>
          <w:rFonts w:ascii="宋体" w:hAnsi="宋体" w:eastAsia="宋体" w:cs="宋体"/>
          <w:color w:val="auto"/>
          <w:szCs w:val="21"/>
          <w:highlight w:val="none"/>
        </w:rPr>
      </w:pPr>
      <w:bookmarkStart w:id="335" w:name="_Toc4007"/>
      <w:bookmarkStart w:id="336" w:name="_Toc18194"/>
      <w:bookmarkStart w:id="337" w:name="_Toc89702845"/>
      <w:bookmarkStart w:id="338" w:name="_Toc88219357"/>
      <w:bookmarkStart w:id="339" w:name="_Toc14528"/>
      <w:bookmarkStart w:id="340" w:name="_Toc533613940"/>
      <w:r>
        <w:rPr>
          <w:rFonts w:hint="eastAsia" w:ascii="宋体" w:hAnsi="宋体" w:eastAsia="宋体" w:cs="宋体"/>
          <w:color w:val="auto"/>
          <w:szCs w:val="21"/>
          <w:highlight w:val="none"/>
        </w:rPr>
        <w:t>1.全日制各类在校生人数统计表</w:t>
      </w:r>
      <w:bookmarkEnd w:id="335"/>
      <w:bookmarkEnd w:id="336"/>
      <w:bookmarkEnd w:id="337"/>
      <w:bookmarkEnd w:id="338"/>
      <w:bookmarkEnd w:id="339"/>
    </w:p>
    <w:tbl>
      <w:tblPr>
        <w:tblStyle w:val="18"/>
        <w:tblW w:w="527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5"/>
        <w:gridCol w:w="1133"/>
        <w:gridCol w:w="1499"/>
        <w:gridCol w:w="1304"/>
        <w:gridCol w:w="954"/>
        <w:gridCol w:w="991"/>
        <w:gridCol w:w="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92" w:type="pct"/>
            <w:vAlign w:val="center"/>
          </w:tcPr>
          <w:p>
            <w:pPr>
              <w:widowControl/>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全日制在校生类别</w:t>
            </w:r>
          </w:p>
        </w:tc>
        <w:tc>
          <w:tcPr>
            <w:tcW w:w="630" w:type="pct"/>
            <w:vAlign w:val="center"/>
          </w:tcPr>
          <w:p>
            <w:pPr>
              <w:widowControl/>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本科生</w:t>
            </w:r>
          </w:p>
        </w:tc>
        <w:tc>
          <w:tcPr>
            <w:tcW w:w="833" w:type="pct"/>
            <w:vAlign w:val="center"/>
          </w:tcPr>
          <w:p>
            <w:pPr>
              <w:widowControl/>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硕士研究生</w:t>
            </w:r>
          </w:p>
        </w:tc>
        <w:tc>
          <w:tcPr>
            <w:tcW w:w="725" w:type="pct"/>
            <w:vAlign w:val="center"/>
          </w:tcPr>
          <w:p>
            <w:pPr>
              <w:widowControl/>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博士研究生</w:t>
            </w:r>
          </w:p>
        </w:tc>
        <w:tc>
          <w:tcPr>
            <w:tcW w:w="530" w:type="pct"/>
            <w:vAlign w:val="center"/>
          </w:tcPr>
          <w:p>
            <w:pPr>
              <w:widowControl/>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留学生</w:t>
            </w:r>
          </w:p>
        </w:tc>
        <w:tc>
          <w:tcPr>
            <w:tcW w:w="551" w:type="pct"/>
            <w:vAlign w:val="center"/>
          </w:tcPr>
          <w:p>
            <w:pPr>
              <w:widowControl/>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预科生</w:t>
            </w:r>
          </w:p>
        </w:tc>
        <w:tc>
          <w:tcPr>
            <w:tcW w:w="536" w:type="pct"/>
            <w:vAlign w:val="center"/>
          </w:tcPr>
          <w:p>
            <w:pPr>
              <w:widowControl/>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92" w:type="pct"/>
            <w:vAlign w:val="center"/>
          </w:tcPr>
          <w:p>
            <w:pPr>
              <w:widowControl/>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人数</w:t>
            </w:r>
          </w:p>
        </w:tc>
        <w:tc>
          <w:tcPr>
            <w:tcW w:w="630" w:type="pct"/>
            <w:vAlign w:val="center"/>
          </w:tcPr>
          <w:p>
            <w:pPr>
              <w:widowControl/>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25239</w:t>
            </w:r>
          </w:p>
        </w:tc>
        <w:tc>
          <w:tcPr>
            <w:tcW w:w="833" w:type="pct"/>
            <w:vAlign w:val="center"/>
          </w:tcPr>
          <w:p>
            <w:pPr>
              <w:widowControl/>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5931</w:t>
            </w:r>
          </w:p>
        </w:tc>
        <w:tc>
          <w:tcPr>
            <w:tcW w:w="725" w:type="pct"/>
            <w:vAlign w:val="center"/>
          </w:tcPr>
          <w:p>
            <w:pPr>
              <w:widowControl/>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96</w:t>
            </w:r>
          </w:p>
        </w:tc>
        <w:tc>
          <w:tcPr>
            <w:tcW w:w="530" w:type="pct"/>
            <w:vAlign w:val="center"/>
          </w:tcPr>
          <w:p>
            <w:pPr>
              <w:widowControl/>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284</w:t>
            </w:r>
          </w:p>
        </w:tc>
        <w:tc>
          <w:tcPr>
            <w:tcW w:w="551" w:type="pct"/>
            <w:vAlign w:val="center"/>
          </w:tcPr>
          <w:p>
            <w:pPr>
              <w:widowControl/>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39</w:t>
            </w:r>
          </w:p>
        </w:tc>
        <w:tc>
          <w:tcPr>
            <w:tcW w:w="536" w:type="pct"/>
            <w:vAlign w:val="center"/>
          </w:tcPr>
          <w:p>
            <w:pPr>
              <w:widowControl/>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31589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92" w:type="pct"/>
            <w:vAlign w:val="center"/>
          </w:tcPr>
          <w:p>
            <w:pPr>
              <w:widowControl/>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所占比例（%）</w:t>
            </w:r>
          </w:p>
        </w:tc>
        <w:tc>
          <w:tcPr>
            <w:tcW w:w="630" w:type="pct"/>
            <w:vAlign w:val="center"/>
          </w:tcPr>
          <w:p>
            <w:pPr>
              <w:widowControl/>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79.90</w:t>
            </w:r>
          </w:p>
        </w:tc>
        <w:tc>
          <w:tcPr>
            <w:tcW w:w="833" w:type="pct"/>
            <w:vAlign w:val="center"/>
          </w:tcPr>
          <w:p>
            <w:pPr>
              <w:widowControl/>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18.78</w:t>
            </w:r>
          </w:p>
        </w:tc>
        <w:tc>
          <w:tcPr>
            <w:tcW w:w="725" w:type="pct"/>
            <w:vAlign w:val="center"/>
          </w:tcPr>
          <w:p>
            <w:pPr>
              <w:widowControl/>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0.3</w:t>
            </w:r>
          </w:p>
        </w:tc>
        <w:tc>
          <w:tcPr>
            <w:tcW w:w="530" w:type="pct"/>
            <w:vAlign w:val="center"/>
          </w:tcPr>
          <w:p>
            <w:pPr>
              <w:widowControl/>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0.9</w:t>
            </w:r>
          </w:p>
        </w:tc>
        <w:tc>
          <w:tcPr>
            <w:tcW w:w="551" w:type="pct"/>
            <w:vAlign w:val="center"/>
          </w:tcPr>
          <w:p>
            <w:pPr>
              <w:widowControl/>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0.12</w:t>
            </w:r>
          </w:p>
        </w:tc>
        <w:tc>
          <w:tcPr>
            <w:tcW w:w="536" w:type="pct"/>
            <w:vAlign w:val="center"/>
          </w:tcPr>
          <w:p>
            <w:pPr>
              <w:widowControl/>
              <w:ind w:firstLine="0" w:firstLineChars="0"/>
              <w:jc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rPr>
              <w:t>100</w:t>
            </w:r>
          </w:p>
        </w:tc>
      </w:tr>
    </w:tbl>
    <w:p>
      <w:pPr>
        <w:pStyle w:val="3"/>
        <w:spacing w:before="156" w:after="156"/>
        <w:rPr>
          <w:rFonts w:ascii="宋体" w:hAnsi="宋体" w:eastAsia="宋体" w:cs="宋体"/>
          <w:color w:val="auto"/>
          <w:szCs w:val="21"/>
          <w:highlight w:val="none"/>
        </w:rPr>
      </w:pPr>
      <w:bookmarkStart w:id="341" w:name="_Toc10575"/>
      <w:bookmarkStart w:id="342" w:name="_Toc88219358"/>
      <w:bookmarkStart w:id="343" w:name="_Toc89702846"/>
      <w:bookmarkStart w:id="344" w:name="_Toc88218607"/>
      <w:bookmarkStart w:id="345" w:name="_Toc28847"/>
      <w:bookmarkStart w:id="346" w:name="_Toc30268"/>
      <w:r>
        <w:rPr>
          <w:rFonts w:hint="eastAsia" w:ascii="宋体" w:hAnsi="宋体" w:eastAsia="宋体" w:cs="宋体"/>
          <w:color w:val="auto"/>
          <w:szCs w:val="21"/>
          <w:highlight w:val="none"/>
        </w:rPr>
        <w:t>2.教师数量及</w:t>
      </w:r>
      <w:bookmarkEnd w:id="340"/>
      <w:r>
        <w:rPr>
          <w:rFonts w:hint="eastAsia" w:ascii="宋体" w:hAnsi="宋体" w:eastAsia="宋体" w:cs="宋体"/>
          <w:color w:val="auto"/>
          <w:szCs w:val="21"/>
          <w:highlight w:val="none"/>
        </w:rPr>
        <w:t>结构</w:t>
      </w:r>
      <w:bookmarkEnd w:id="341"/>
      <w:bookmarkEnd w:id="342"/>
      <w:bookmarkEnd w:id="343"/>
      <w:bookmarkEnd w:id="344"/>
      <w:bookmarkEnd w:id="345"/>
      <w:bookmarkEnd w:id="346"/>
    </w:p>
    <w:tbl>
      <w:tblPr>
        <w:tblStyle w:val="18"/>
        <w:tblW w:w="5275" w:type="pct"/>
        <w:jc w:val="center"/>
        <w:tblLayout w:type="fixed"/>
        <w:tblCellMar>
          <w:top w:w="0" w:type="dxa"/>
          <w:left w:w="108" w:type="dxa"/>
          <w:bottom w:w="0" w:type="dxa"/>
          <w:right w:w="108" w:type="dxa"/>
        </w:tblCellMar>
      </w:tblPr>
      <w:tblGrid>
        <w:gridCol w:w="2257"/>
        <w:gridCol w:w="1045"/>
        <w:gridCol w:w="610"/>
        <w:gridCol w:w="607"/>
        <w:gridCol w:w="758"/>
        <w:gridCol w:w="560"/>
        <w:gridCol w:w="582"/>
        <w:gridCol w:w="1304"/>
        <w:gridCol w:w="1268"/>
      </w:tblGrid>
      <w:tr>
        <w:tblPrEx>
          <w:tblCellMar>
            <w:top w:w="0" w:type="dxa"/>
            <w:left w:w="108" w:type="dxa"/>
            <w:bottom w:w="0" w:type="dxa"/>
            <w:right w:w="108" w:type="dxa"/>
          </w:tblCellMar>
        </w:tblPrEx>
        <w:trPr>
          <w:trHeight w:val="452" w:hRule="atLeast"/>
          <w:jc w:val="center"/>
        </w:trPr>
        <w:tc>
          <w:tcPr>
            <w:tcW w:w="2257"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专业名称</w:t>
            </w:r>
          </w:p>
        </w:tc>
        <w:tc>
          <w:tcPr>
            <w:tcW w:w="10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0" w:firstLineChars="0"/>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专任教师总数</w:t>
            </w:r>
          </w:p>
        </w:tc>
        <w:tc>
          <w:tcPr>
            <w:tcW w:w="1217"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职称</w:t>
            </w:r>
          </w:p>
        </w:tc>
        <w:tc>
          <w:tcPr>
            <w:tcW w:w="190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学位</w:t>
            </w:r>
          </w:p>
        </w:tc>
        <w:tc>
          <w:tcPr>
            <w:tcW w:w="130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0" w:firstLineChars="0"/>
              <w:jc w:val="center"/>
              <w:textAlignment w:val="center"/>
              <w:rPr>
                <w:rFonts w:hint="eastAsia" w:ascii="宋体" w:hAnsi="宋体" w:eastAsia="宋体" w:cs="宋体"/>
                <w:color w:val="auto"/>
                <w:sz w:val="21"/>
                <w:szCs w:val="21"/>
                <w:highlight w:val="none"/>
                <w:lang w:eastAsia="zh-CN"/>
              </w:rPr>
            </w:pPr>
            <w:r>
              <w:rPr>
                <w:rFonts w:hint="eastAsia" w:ascii="宋体" w:hAnsi="宋体" w:cs="宋体"/>
                <w:color w:val="auto"/>
                <w:kern w:val="0"/>
                <w:sz w:val="21"/>
                <w:szCs w:val="21"/>
                <w:highlight w:val="none"/>
                <w:lang w:bidi="ar"/>
              </w:rPr>
              <w:t>具有副高及以上职称教师比例</w:t>
            </w:r>
            <w:r>
              <w:rPr>
                <w:rFonts w:hint="eastAsia" w:ascii="宋体" w:hAnsi="宋体" w:cs="宋体"/>
                <w:color w:val="auto"/>
                <w:kern w:val="0"/>
                <w:sz w:val="21"/>
                <w:szCs w:val="21"/>
                <w:highlight w:val="none"/>
                <w:lang w:eastAsia="zh-CN" w:bidi="ar"/>
              </w:rPr>
              <w:t>（</w:t>
            </w:r>
            <w:r>
              <w:rPr>
                <w:rFonts w:hint="eastAsia" w:ascii="宋体" w:hAnsi="宋体" w:cs="宋体"/>
                <w:color w:val="auto"/>
                <w:kern w:val="0"/>
                <w:sz w:val="21"/>
                <w:szCs w:val="21"/>
                <w:highlight w:val="none"/>
                <w:lang w:val="en-US" w:eastAsia="zh-CN" w:bidi="ar"/>
              </w:rPr>
              <w:t>%</w:t>
            </w:r>
            <w:r>
              <w:rPr>
                <w:rFonts w:hint="eastAsia" w:ascii="宋体" w:hAnsi="宋体" w:cs="宋体"/>
                <w:color w:val="auto"/>
                <w:kern w:val="0"/>
                <w:sz w:val="21"/>
                <w:szCs w:val="21"/>
                <w:highlight w:val="none"/>
                <w:lang w:eastAsia="zh-CN" w:bidi="ar"/>
              </w:rPr>
              <w:t>）</w:t>
            </w:r>
          </w:p>
        </w:tc>
        <w:tc>
          <w:tcPr>
            <w:tcW w:w="126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0" w:firstLineChars="0"/>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具有研究生学历及以上教师比例</w:t>
            </w:r>
            <w:r>
              <w:rPr>
                <w:rFonts w:hint="eastAsia" w:ascii="宋体" w:hAnsi="宋体" w:cs="宋体"/>
                <w:color w:val="auto"/>
                <w:kern w:val="0"/>
                <w:sz w:val="21"/>
                <w:szCs w:val="21"/>
                <w:highlight w:val="none"/>
                <w:lang w:eastAsia="zh-CN" w:bidi="ar"/>
              </w:rPr>
              <w:t>（</w:t>
            </w:r>
            <w:r>
              <w:rPr>
                <w:rFonts w:hint="eastAsia" w:ascii="宋体" w:hAnsi="宋体" w:cs="宋体"/>
                <w:color w:val="auto"/>
                <w:kern w:val="0"/>
                <w:sz w:val="21"/>
                <w:szCs w:val="21"/>
                <w:highlight w:val="none"/>
                <w:lang w:val="en-US" w:eastAsia="zh-CN" w:bidi="ar"/>
              </w:rPr>
              <w:t>%</w:t>
            </w:r>
            <w:r>
              <w:rPr>
                <w:rFonts w:hint="eastAsia" w:ascii="宋体" w:hAnsi="宋体" w:cs="宋体"/>
                <w:color w:val="auto"/>
                <w:kern w:val="0"/>
                <w:sz w:val="21"/>
                <w:szCs w:val="21"/>
                <w:highlight w:val="none"/>
                <w:lang w:eastAsia="zh-CN" w:bidi="ar"/>
              </w:rPr>
              <w:t>）</w:t>
            </w:r>
          </w:p>
        </w:tc>
      </w:tr>
      <w:tr>
        <w:tblPrEx>
          <w:tblCellMar>
            <w:top w:w="0" w:type="dxa"/>
            <w:left w:w="108" w:type="dxa"/>
            <w:bottom w:w="0" w:type="dxa"/>
            <w:right w:w="108" w:type="dxa"/>
          </w:tblCellMar>
        </w:tblPrEx>
        <w:trPr>
          <w:trHeight w:val="842" w:hRule="atLeast"/>
          <w:jc w:val="center"/>
        </w:trPr>
        <w:tc>
          <w:tcPr>
            <w:tcW w:w="2257"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spacing w:line="240" w:lineRule="auto"/>
              <w:ind w:firstLine="0" w:firstLineChars="0"/>
              <w:jc w:val="left"/>
              <w:rPr>
                <w:rFonts w:ascii="宋体" w:hAnsi="宋体" w:cs="宋体"/>
                <w:color w:val="auto"/>
                <w:sz w:val="21"/>
                <w:szCs w:val="21"/>
                <w:highlight w:val="none"/>
              </w:rPr>
            </w:pPr>
          </w:p>
        </w:tc>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ind w:firstLine="0" w:firstLineChars="0"/>
              <w:jc w:val="center"/>
              <w:rPr>
                <w:rFonts w:ascii="宋体" w:hAnsi="宋体" w:cs="宋体"/>
                <w:color w:val="auto"/>
                <w:sz w:val="21"/>
                <w:szCs w:val="21"/>
                <w:highlight w:val="none"/>
              </w:rPr>
            </w:pP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正高</w:t>
            </w:r>
          </w:p>
        </w:tc>
        <w:tc>
          <w:tcPr>
            <w:tcW w:w="6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0" w:firstLineChars="0"/>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副高</w:t>
            </w:r>
          </w:p>
        </w:tc>
        <w:tc>
          <w:tcPr>
            <w:tcW w:w="7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0" w:firstLineChars="0"/>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学士及以下</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硕士</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博士</w:t>
            </w:r>
          </w:p>
        </w:tc>
        <w:tc>
          <w:tcPr>
            <w:tcW w:w="130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ind w:firstLine="0" w:firstLineChars="0"/>
              <w:jc w:val="center"/>
              <w:rPr>
                <w:rFonts w:ascii="宋体" w:hAnsi="宋体" w:cs="宋体"/>
                <w:color w:val="auto"/>
                <w:sz w:val="21"/>
                <w:szCs w:val="21"/>
                <w:highlight w:val="none"/>
              </w:rPr>
            </w:pPr>
          </w:p>
        </w:tc>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ind w:firstLine="0" w:firstLineChars="0"/>
              <w:jc w:val="center"/>
              <w:rPr>
                <w:rFonts w:ascii="宋体" w:hAnsi="宋体" w:cs="宋体"/>
                <w:color w:val="auto"/>
                <w:sz w:val="21"/>
                <w:szCs w:val="21"/>
                <w:highlight w:val="none"/>
              </w:rPr>
            </w:pP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朝鲜语</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14.29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大数据管理与应用</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20.00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地理信息科学</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22</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22</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54.55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电子商务</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24</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23</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41.67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电子信息工程</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18</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14</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55.56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动画</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37.50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法学</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37</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20</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27</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67.57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97.30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翻译</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16</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50.00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高分子材料与工程</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41</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22</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39</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75.61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公共事业管理</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14</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13</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64.29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公共艺术</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17</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35.29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64.71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广播电视编导</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0.00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国际商务</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14</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13</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35.71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汉语言文学</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80</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23</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36</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75</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73.75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护理学</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33</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24</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42.42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93.94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化学</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54</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18</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19</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52</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68.52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98.15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环境工程</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18</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17</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72.22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环境设计</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44.44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44.44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会计学</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0.00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会展经济与管理</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33.33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66.67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绘画</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17</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52.94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76.47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机械设计制造及其自动化</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0.00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基础医学</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88.89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计算机科学与技术</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45</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17</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37</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51.11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97.78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健康服务与管理</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15</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14</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33.33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教育技术学</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14</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57.14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金融工程</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18</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17</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33.33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经济学</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34</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33</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47.06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科学教育</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25</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15</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22</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72.00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96.00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口腔医学</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60.00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历史学</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29</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28</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75.86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96.55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临床医学</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54</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18</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52</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48.15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旅游管理</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14</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64.29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92.86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美术学</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29</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14</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15</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62.07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89.66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日语</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15</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20.00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软件工程</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36.36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社会工作</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66.67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社会学</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50.00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生态学</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15</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14</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73.33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93.33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生物技术</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25</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20</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25</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96.00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生物科学</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62</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17</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28</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60</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72.58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市场营销</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66.67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视觉传达设计</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72.73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72.73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书法学</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数据科学与大数据技术</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26</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26</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46.15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数学与应用数学</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53</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15</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18</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48</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62.26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94.34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数字媒体艺术</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18</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33.33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思想政治教育</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28</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24</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67.86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特殊教育</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66.67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体育教育</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35</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13</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18</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48.57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88.57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统计学</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50.00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文化产业管理</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14</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50.00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92.86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武术与民族传统体育</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50.00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舞蹈学</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0.00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物理学</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38</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13</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14</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35</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71.05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97.37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物流管理</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80.00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小学教育</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66</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23</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19</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20</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45</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63.64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98.48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行政管理</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15</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15</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66.67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休闲体育</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63.64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81.82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学前教育</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38</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15</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22</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42.11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97.37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药学</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52</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24</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49</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61.54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音乐学</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32</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13</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15</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17</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46.88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应用化学</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23</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22</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82.61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应用心理学</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29</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14</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25</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86.21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96.55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英语</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59</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17</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21</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16</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43</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64.41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预防医学</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35</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15</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30</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57.14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知识产权</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30.00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bookmarkStart w:id="347" w:name="_Toc533613941"/>
            <w:bookmarkStart w:id="348" w:name="_Toc89702847"/>
            <w:bookmarkStart w:id="349" w:name="_Toc1435"/>
            <w:bookmarkStart w:id="350" w:name="_Toc88219359"/>
            <w:bookmarkStart w:id="351" w:name="_Toc88218608"/>
            <w:bookmarkStart w:id="352" w:name="_Toc26173"/>
            <w:r>
              <w:rPr>
                <w:rFonts w:hint="eastAsia" w:ascii="宋体" w:hAnsi="宋体" w:cs="宋体"/>
                <w:color w:val="auto"/>
                <w:kern w:val="0"/>
                <w:sz w:val="21"/>
                <w:szCs w:val="21"/>
                <w:highlight w:val="none"/>
                <w:lang w:val="en-US" w:eastAsia="zh-CN"/>
              </w:rPr>
              <w:t>制药工程</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14</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14</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92.86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100.00  </w:t>
            </w:r>
          </w:p>
        </w:tc>
      </w:tr>
      <w:tr>
        <w:tblPrEx>
          <w:tblCellMar>
            <w:top w:w="0" w:type="dxa"/>
            <w:left w:w="108" w:type="dxa"/>
            <w:bottom w:w="0" w:type="dxa"/>
            <w:right w:w="108" w:type="dxa"/>
          </w:tblCellMar>
        </w:tblPrEx>
        <w:trPr>
          <w:trHeight w:val="283" w:hRule="exact"/>
          <w:jc w:val="center"/>
        </w:trPr>
        <w:tc>
          <w:tcPr>
            <w:tcW w:w="2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default" w:ascii="宋体" w:hAnsi="宋体" w:cs="宋体"/>
                <w:color w:val="auto"/>
                <w:kern w:val="0"/>
                <w:sz w:val="21"/>
                <w:szCs w:val="21"/>
                <w:highlight w:val="none"/>
                <w:lang w:val="en-US"/>
              </w:rPr>
            </w:pPr>
            <w:r>
              <w:rPr>
                <w:rFonts w:hint="eastAsia" w:ascii="宋体" w:hAnsi="宋体" w:cs="宋体"/>
                <w:color w:val="auto"/>
                <w:kern w:val="0"/>
                <w:sz w:val="21"/>
                <w:szCs w:val="21"/>
                <w:highlight w:val="none"/>
                <w:lang w:val="en-US" w:eastAsia="zh-CN"/>
              </w:rPr>
              <w:t>无具体任教专业</w:t>
            </w:r>
          </w:p>
        </w:tc>
        <w:tc>
          <w:tcPr>
            <w:tcW w:w="10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173</w:t>
            </w:r>
          </w:p>
        </w:tc>
        <w:tc>
          <w:tcPr>
            <w:tcW w:w="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18</w:t>
            </w:r>
          </w:p>
        </w:tc>
        <w:tc>
          <w:tcPr>
            <w:tcW w:w="6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47</w:t>
            </w:r>
          </w:p>
        </w:tc>
        <w:tc>
          <w:tcPr>
            <w:tcW w:w="7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21</w:t>
            </w:r>
          </w:p>
        </w:tc>
        <w:tc>
          <w:tcPr>
            <w:tcW w:w="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63</w:t>
            </w:r>
          </w:p>
        </w:tc>
        <w:tc>
          <w:tcPr>
            <w:tcW w:w="5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89</w:t>
            </w:r>
          </w:p>
        </w:tc>
        <w:tc>
          <w:tcPr>
            <w:tcW w:w="13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37.57  </w:t>
            </w:r>
          </w:p>
        </w:tc>
        <w:tc>
          <w:tcPr>
            <w:tcW w:w="12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spacing w:line="240" w:lineRule="auto"/>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87.86  </w:t>
            </w:r>
          </w:p>
        </w:tc>
      </w:tr>
    </w:tbl>
    <w:p>
      <w:pPr>
        <w:pStyle w:val="3"/>
        <w:spacing w:before="156" w:after="156"/>
        <w:rPr>
          <w:rFonts w:ascii="宋体" w:hAnsi="宋体" w:eastAsia="宋体" w:cs="宋体"/>
          <w:color w:val="auto"/>
          <w:szCs w:val="21"/>
          <w:highlight w:val="none"/>
        </w:rPr>
      </w:pPr>
      <w:bookmarkStart w:id="353" w:name="_Toc24401"/>
      <w:r>
        <w:rPr>
          <w:rFonts w:hint="eastAsia" w:ascii="宋体" w:hAnsi="宋体" w:eastAsia="宋体" w:cs="宋体"/>
          <w:color w:val="auto"/>
          <w:szCs w:val="21"/>
          <w:highlight w:val="none"/>
        </w:rPr>
        <w:t>3.</w:t>
      </w:r>
      <w:bookmarkEnd w:id="347"/>
      <w:r>
        <w:rPr>
          <w:rFonts w:hint="eastAsia" w:ascii="宋体" w:hAnsi="宋体" w:eastAsia="宋体" w:cs="宋体"/>
          <w:color w:val="auto"/>
          <w:szCs w:val="21"/>
          <w:highlight w:val="none"/>
        </w:rPr>
        <w:t>专业设置情况</w:t>
      </w:r>
      <w:bookmarkEnd w:id="348"/>
      <w:bookmarkEnd w:id="349"/>
      <w:bookmarkEnd w:id="350"/>
      <w:bookmarkEnd w:id="351"/>
      <w:bookmarkEnd w:id="352"/>
      <w:bookmarkEnd w:id="353"/>
    </w:p>
    <w:p>
      <w:pPr>
        <w:pStyle w:val="6"/>
        <w:spacing w:before="156" w:after="156" w:line="240" w:lineRule="auto"/>
        <w:ind w:firstLine="420"/>
        <w:jc w:val="center"/>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3-1全校本科专业总数</w:t>
      </w:r>
    </w:p>
    <w:tbl>
      <w:tblPr>
        <w:tblStyle w:val="18"/>
        <w:tblpPr w:leftFromText="180" w:rightFromText="180" w:vertAnchor="text" w:horzAnchor="page" w:tblpXSpec="center" w:tblpY="295"/>
        <w:tblOverlap w:val="never"/>
        <w:tblW w:w="87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4"/>
        <w:gridCol w:w="5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0" w:type="pct"/>
            <w:vAlign w:val="center"/>
          </w:tcPr>
          <w:p>
            <w:pPr>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全校本科专业总数</w:t>
            </w:r>
          </w:p>
        </w:tc>
        <w:tc>
          <w:tcPr>
            <w:tcW w:w="3169" w:type="pct"/>
            <w:vAlign w:val="center"/>
          </w:tcPr>
          <w:p>
            <w:pPr>
              <w:ind w:firstLine="0" w:firstLineChars="0"/>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0" w:type="pct"/>
            <w:vAlign w:val="center"/>
          </w:tcPr>
          <w:p>
            <w:pPr>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当年本科招生专业总数</w:t>
            </w:r>
          </w:p>
        </w:tc>
        <w:tc>
          <w:tcPr>
            <w:tcW w:w="3169" w:type="pct"/>
            <w:vAlign w:val="center"/>
          </w:tcPr>
          <w:p>
            <w:pPr>
              <w:ind w:firstLine="0" w:firstLineChars="0"/>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71</w:t>
            </w:r>
          </w:p>
        </w:tc>
      </w:tr>
    </w:tbl>
    <w:p>
      <w:pPr>
        <w:pStyle w:val="6"/>
        <w:spacing w:before="312" w:beforeLines="100" w:line="240" w:lineRule="auto"/>
        <w:ind w:firstLine="0" w:firstLineChars="0"/>
        <w:jc w:val="center"/>
        <w:rPr>
          <w:rFonts w:ascii="宋体" w:hAnsi="宋体" w:eastAsia="宋体" w:cs="宋体"/>
          <w:color w:val="auto"/>
          <w:sz w:val="21"/>
          <w:szCs w:val="21"/>
          <w:highlight w:val="none"/>
        </w:rPr>
      </w:pPr>
      <w:bookmarkStart w:id="354" w:name="_Toc88218609"/>
      <w:bookmarkStart w:id="355" w:name="_Toc533613942"/>
      <w:bookmarkStart w:id="356" w:name="_Toc89702848"/>
      <w:bookmarkStart w:id="357" w:name="_Toc88219360"/>
      <w:r>
        <w:rPr>
          <w:rFonts w:hint="eastAsia" w:ascii="宋体" w:hAnsi="宋体" w:eastAsia="宋体" w:cs="宋体"/>
          <w:color w:val="auto"/>
          <w:sz w:val="21"/>
          <w:szCs w:val="21"/>
          <w:highlight w:val="none"/>
        </w:rPr>
        <w:t>3-2当年新增专业、停招专业名单</w:t>
      </w:r>
    </w:p>
    <w:tbl>
      <w:tblPr>
        <w:tblStyle w:val="18"/>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05"/>
        <w:gridCol w:w="1828"/>
        <w:gridCol w:w="3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825" w:type="pct"/>
            <w:vAlign w:val="center"/>
          </w:tcPr>
          <w:p>
            <w:pPr>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类别</w:t>
            </w:r>
          </w:p>
        </w:tc>
        <w:tc>
          <w:tcPr>
            <w:tcW w:w="1074" w:type="pct"/>
            <w:vAlign w:val="center"/>
          </w:tcPr>
          <w:p>
            <w:pPr>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数量</w:t>
            </w:r>
          </w:p>
        </w:tc>
        <w:tc>
          <w:tcPr>
            <w:tcW w:w="2100" w:type="pct"/>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25" w:type="pct"/>
            <w:vMerge w:val="restart"/>
            <w:vAlign w:val="center"/>
          </w:tcPr>
          <w:p>
            <w:pPr>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当年新增</w:t>
            </w:r>
            <w:r>
              <w:rPr>
                <w:rFonts w:hint="eastAsia" w:ascii="宋体" w:hAnsi="宋体" w:cs="宋体"/>
                <w:color w:val="auto"/>
                <w:sz w:val="21"/>
                <w:szCs w:val="21"/>
                <w:highlight w:val="none"/>
                <w:lang w:val="en-US" w:eastAsia="zh-CN"/>
              </w:rPr>
              <w:t>招生</w:t>
            </w:r>
            <w:r>
              <w:rPr>
                <w:rFonts w:hint="eastAsia" w:ascii="宋体" w:hAnsi="宋体" w:cs="宋体"/>
                <w:color w:val="auto"/>
                <w:sz w:val="21"/>
                <w:szCs w:val="21"/>
                <w:highlight w:val="none"/>
              </w:rPr>
              <w:t>专业</w:t>
            </w:r>
          </w:p>
        </w:tc>
        <w:tc>
          <w:tcPr>
            <w:tcW w:w="1074" w:type="pct"/>
            <w:vMerge w:val="restart"/>
            <w:vAlign w:val="center"/>
          </w:tcPr>
          <w:p>
            <w:pPr>
              <w:spacing w:line="240" w:lineRule="auto"/>
              <w:ind w:firstLine="0" w:firstLineChars="0"/>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3</w:t>
            </w:r>
          </w:p>
        </w:tc>
        <w:tc>
          <w:tcPr>
            <w:tcW w:w="2100" w:type="pct"/>
            <w:vAlign w:val="center"/>
          </w:tcPr>
          <w:p>
            <w:pPr>
              <w:widowControl/>
              <w:spacing w:line="240" w:lineRule="auto"/>
              <w:ind w:firstLine="0" w:firstLineChars="0"/>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数据科学与大数据技术（第二学位）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25" w:type="pct"/>
            <w:vMerge w:val="continue"/>
            <w:vAlign w:val="center"/>
          </w:tcPr>
          <w:p>
            <w:pPr>
              <w:spacing w:line="240" w:lineRule="auto"/>
              <w:ind w:firstLine="0" w:firstLineChars="0"/>
              <w:jc w:val="center"/>
              <w:rPr>
                <w:rFonts w:ascii="宋体" w:hAnsi="宋体" w:cs="宋体"/>
                <w:color w:val="auto"/>
                <w:sz w:val="21"/>
                <w:szCs w:val="21"/>
                <w:highlight w:val="none"/>
              </w:rPr>
            </w:pPr>
          </w:p>
        </w:tc>
        <w:tc>
          <w:tcPr>
            <w:tcW w:w="1074" w:type="pct"/>
            <w:vMerge w:val="continue"/>
            <w:vAlign w:val="center"/>
          </w:tcPr>
          <w:p>
            <w:pPr>
              <w:spacing w:line="240" w:lineRule="auto"/>
              <w:ind w:firstLine="0" w:firstLineChars="0"/>
              <w:jc w:val="center"/>
              <w:rPr>
                <w:rFonts w:ascii="宋体" w:hAnsi="宋体" w:cs="宋体"/>
                <w:color w:val="auto"/>
                <w:sz w:val="21"/>
                <w:szCs w:val="21"/>
                <w:highlight w:val="none"/>
              </w:rPr>
            </w:pPr>
          </w:p>
        </w:tc>
        <w:tc>
          <w:tcPr>
            <w:tcW w:w="2100" w:type="pct"/>
            <w:vAlign w:val="center"/>
          </w:tcPr>
          <w:p>
            <w:pPr>
              <w:widowControl/>
              <w:spacing w:line="240" w:lineRule="auto"/>
              <w:ind w:firstLine="0" w:firstLineChars="0"/>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社会学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25" w:type="pct"/>
            <w:vMerge w:val="continue"/>
            <w:vAlign w:val="center"/>
          </w:tcPr>
          <w:p>
            <w:pPr>
              <w:spacing w:line="240" w:lineRule="auto"/>
              <w:ind w:firstLine="0" w:firstLineChars="0"/>
              <w:jc w:val="center"/>
              <w:rPr>
                <w:rFonts w:ascii="宋体" w:hAnsi="宋体" w:cs="宋体"/>
                <w:color w:val="auto"/>
                <w:sz w:val="21"/>
                <w:szCs w:val="21"/>
                <w:highlight w:val="none"/>
              </w:rPr>
            </w:pPr>
          </w:p>
        </w:tc>
        <w:tc>
          <w:tcPr>
            <w:tcW w:w="1074" w:type="pct"/>
            <w:vMerge w:val="continue"/>
            <w:vAlign w:val="center"/>
          </w:tcPr>
          <w:p>
            <w:pPr>
              <w:spacing w:line="240" w:lineRule="auto"/>
              <w:ind w:firstLine="0" w:firstLineChars="0"/>
              <w:jc w:val="center"/>
              <w:rPr>
                <w:rFonts w:ascii="宋体" w:hAnsi="宋体" w:cs="宋体"/>
                <w:color w:val="auto"/>
                <w:sz w:val="21"/>
                <w:szCs w:val="21"/>
                <w:highlight w:val="none"/>
              </w:rPr>
            </w:pPr>
          </w:p>
        </w:tc>
        <w:tc>
          <w:tcPr>
            <w:tcW w:w="2100" w:type="pct"/>
            <w:vAlign w:val="center"/>
          </w:tcPr>
          <w:p>
            <w:pPr>
              <w:widowControl/>
              <w:spacing w:line="240" w:lineRule="auto"/>
              <w:ind w:firstLine="0" w:firstLineChars="0"/>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应用心理学（第二学位）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25" w:type="pct"/>
            <w:vMerge w:val="restart"/>
            <w:vAlign w:val="center"/>
          </w:tcPr>
          <w:p>
            <w:pPr>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当年停招专业</w:t>
            </w:r>
          </w:p>
        </w:tc>
        <w:tc>
          <w:tcPr>
            <w:tcW w:w="1074" w:type="pct"/>
            <w:vMerge w:val="restart"/>
            <w:vAlign w:val="center"/>
          </w:tcPr>
          <w:p>
            <w:pPr>
              <w:spacing w:line="240" w:lineRule="auto"/>
              <w:ind w:firstLine="0" w:firstLineChars="0"/>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val="en-US" w:eastAsia="zh-CN"/>
              </w:rPr>
              <w:t>0</w:t>
            </w:r>
          </w:p>
        </w:tc>
        <w:tc>
          <w:tcPr>
            <w:tcW w:w="2100" w:type="pct"/>
            <w:vAlign w:val="center"/>
          </w:tcPr>
          <w:p>
            <w:pPr>
              <w:widowControl/>
              <w:spacing w:line="240" w:lineRule="auto"/>
              <w:ind w:firstLine="0" w:firstLineChars="0"/>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汉语言文学（专升本）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25" w:type="pct"/>
            <w:vMerge w:val="continue"/>
            <w:vAlign w:val="center"/>
          </w:tcPr>
          <w:p>
            <w:pPr>
              <w:spacing w:line="240" w:lineRule="auto"/>
              <w:ind w:firstLine="0" w:firstLineChars="0"/>
              <w:jc w:val="center"/>
              <w:rPr>
                <w:rFonts w:ascii="宋体" w:hAnsi="宋体" w:cs="宋体"/>
                <w:color w:val="auto"/>
                <w:sz w:val="21"/>
                <w:szCs w:val="21"/>
                <w:highlight w:val="none"/>
              </w:rPr>
            </w:pPr>
            <w:bookmarkStart w:id="358" w:name="_Toc501971686"/>
          </w:p>
        </w:tc>
        <w:tc>
          <w:tcPr>
            <w:tcW w:w="1074" w:type="pct"/>
            <w:vMerge w:val="continue"/>
            <w:vAlign w:val="center"/>
          </w:tcPr>
          <w:p>
            <w:pPr>
              <w:spacing w:line="240" w:lineRule="auto"/>
              <w:ind w:firstLine="0" w:firstLineChars="0"/>
              <w:jc w:val="center"/>
              <w:rPr>
                <w:rFonts w:ascii="宋体" w:hAnsi="宋体" w:cs="宋体"/>
                <w:color w:val="auto"/>
                <w:sz w:val="21"/>
                <w:szCs w:val="21"/>
                <w:highlight w:val="none"/>
              </w:rPr>
            </w:pPr>
          </w:p>
        </w:tc>
        <w:tc>
          <w:tcPr>
            <w:tcW w:w="2100" w:type="pct"/>
            <w:vAlign w:val="center"/>
          </w:tcPr>
          <w:p>
            <w:pPr>
              <w:widowControl/>
              <w:spacing w:line="240" w:lineRule="auto"/>
              <w:ind w:firstLine="0" w:firstLineChars="0"/>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生物技术（第二学位）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25" w:type="pct"/>
            <w:vMerge w:val="continue"/>
            <w:vAlign w:val="center"/>
          </w:tcPr>
          <w:p>
            <w:pPr>
              <w:spacing w:line="240" w:lineRule="auto"/>
              <w:ind w:firstLine="0" w:firstLineChars="0"/>
              <w:jc w:val="center"/>
              <w:rPr>
                <w:rFonts w:ascii="宋体" w:hAnsi="宋体" w:cs="宋体"/>
                <w:color w:val="auto"/>
                <w:sz w:val="21"/>
                <w:szCs w:val="21"/>
                <w:highlight w:val="none"/>
              </w:rPr>
            </w:pPr>
          </w:p>
        </w:tc>
        <w:tc>
          <w:tcPr>
            <w:tcW w:w="1074" w:type="pct"/>
            <w:vMerge w:val="continue"/>
            <w:vAlign w:val="center"/>
          </w:tcPr>
          <w:p>
            <w:pPr>
              <w:spacing w:line="240" w:lineRule="auto"/>
              <w:ind w:firstLine="0" w:firstLineChars="0"/>
              <w:jc w:val="center"/>
              <w:rPr>
                <w:rFonts w:ascii="宋体" w:hAnsi="宋体" w:cs="宋体"/>
                <w:color w:val="auto"/>
                <w:sz w:val="21"/>
                <w:szCs w:val="21"/>
                <w:highlight w:val="none"/>
              </w:rPr>
            </w:pPr>
          </w:p>
        </w:tc>
        <w:tc>
          <w:tcPr>
            <w:tcW w:w="2100" w:type="pct"/>
            <w:vAlign w:val="center"/>
          </w:tcPr>
          <w:p>
            <w:pPr>
              <w:widowControl/>
              <w:spacing w:line="240" w:lineRule="auto"/>
              <w:ind w:firstLine="0" w:firstLineChars="0"/>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视觉传达设计（专升本）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25" w:type="pct"/>
            <w:vMerge w:val="continue"/>
            <w:vAlign w:val="center"/>
          </w:tcPr>
          <w:p>
            <w:pPr>
              <w:spacing w:line="240" w:lineRule="auto"/>
              <w:ind w:firstLine="0" w:firstLineChars="0"/>
              <w:jc w:val="center"/>
              <w:rPr>
                <w:rFonts w:ascii="宋体" w:hAnsi="宋体" w:cs="宋体"/>
                <w:color w:val="auto"/>
                <w:sz w:val="21"/>
                <w:szCs w:val="21"/>
                <w:highlight w:val="none"/>
              </w:rPr>
            </w:pPr>
          </w:p>
        </w:tc>
        <w:tc>
          <w:tcPr>
            <w:tcW w:w="1074" w:type="pct"/>
            <w:vMerge w:val="continue"/>
            <w:vAlign w:val="center"/>
          </w:tcPr>
          <w:p>
            <w:pPr>
              <w:spacing w:line="240" w:lineRule="auto"/>
              <w:ind w:firstLine="0" w:firstLineChars="0"/>
              <w:jc w:val="center"/>
              <w:rPr>
                <w:rFonts w:ascii="宋体" w:hAnsi="宋体" w:cs="宋体"/>
                <w:color w:val="auto"/>
                <w:sz w:val="21"/>
                <w:szCs w:val="21"/>
                <w:highlight w:val="none"/>
              </w:rPr>
            </w:pPr>
          </w:p>
        </w:tc>
        <w:tc>
          <w:tcPr>
            <w:tcW w:w="2100" w:type="pct"/>
            <w:vAlign w:val="center"/>
          </w:tcPr>
          <w:p>
            <w:pPr>
              <w:widowControl/>
              <w:spacing w:line="240" w:lineRule="auto"/>
              <w:ind w:firstLine="0" w:firstLineChars="0"/>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环境设计（专升本）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25" w:type="pct"/>
            <w:vMerge w:val="continue"/>
            <w:vAlign w:val="center"/>
          </w:tcPr>
          <w:p>
            <w:pPr>
              <w:spacing w:line="240" w:lineRule="auto"/>
              <w:ind w:firstLine="0" w:firstLineChars="0"/>
              <w:jc w:val="center"/>
              <w:rPr>
                <w:rFonts w:ascii="宋体" w:hAnsi="宋体" w:cs="宋体"/>
                <w:color w:val="auto"/>
                <w:sz w:val="21"/>
                <w:szCs w:val="21"/>
                <w:highlight w:val="none"/>
              </w:rPr>
            </w:pPr>
          </w:p>
        </w:tc>
        <w:tc>
          <w:tcPr>
            <w:tcW w:w="1074" w:type="pct"/>
            <w:vMerge w:val="continue"/>
            <w:vAlign w:val="center"/>
          </w:tcPr>
          <w:p>
            <w:pPr>
              <w:spacing w:line="240" w:lineRule="auto"/>
              <w:ind w:firstLine="0" w:firstLineChars="0"/>
              <w:jc w:val="center"/>
              <w:rPr>
                <w:rFonts w:ascii="宋体" w:hAnsi="宋体" w:cs="宋体"/>
                <w:color w:val="auto"/>
                <w:sz w:val="21"/>
                <w:szCs w:val="21"/>
                <w:highlight w:val="none"/>
              </w:rPr>
            </w:pPr>
          </w:p>
        </w:tc>
        <w:tc>
          <w:tcPr>
            <w:tcW w:w="2100" w:type="pct"/>
            <w:vAlign w:val="center"/>
          </w:tcPr>
          <w:p>
            <w:pPr>
              <w:widowControl/>
              <w:spacing w:line="240" w:lineRule="auto"/>
              <w:ind w:firstLine="0" w:firstLineChars="0"/>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动画（专升本）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25" w:type="pct"/>
            <w:vMerge w:val="continue"/>
            <w:vAlign w:val="center"/>
          </w:tcPr>
          <w:p>
            <w:pPr>
              <w:spacing w:line="240" w:lineRule="auto"/>
              <w:ind w:firstLine="0" w:firstLineChars="0"/>
              <w:jc w:val="center"/>
              <w:rPr>
                <w:rFonts w:ascii="宋体" w:hAnsi="宋体" w:cs="宋体"/>
                <w:color w:val="auto"/>
                <w:sz w:val="21"/>
                <w:szCs w:val="21"/>
                <w:highlight w:val="none"/>
              </w:rPr>
            </w:pPr>
          </w:p>
        </w:tc>
        <w:tc>
          <w:tcPr>
            <w:tcW w:w="1074" w:type="pct"/>
            <w:vMerge w:val="continue"/>
            <w:vAlign w:val="center"/>
          </w:tcPr>
          <w:p>
            <w:pPr>
              <w:spacing w:line="240" w:lineRule="auto"/>
              <w:ind w:firstLine="0" w:firstLineChars="0"/>
              <w:jc w:val="center"/>
              <w:rPr>
                <w:rFonts w:ascii="宋体" w:hAnsi="宋体" w:cs="宋体"/>
                <w:color w:val="auto"/>
                <w:sz w:val="21"/>
                <w:szCs w:val="21"/>
                <w:highlight w:val="none"/>
              </w:rPr>
            </w:pPr>
          </w:p>
        </w:tc>
        <w:tc>
          <w:tcPr>
            <w:tcW w:w="2100" w:type="pct"/>
            <w:vAlign w:val="center"/>
          </w:tcPr>
          <w:p>
            <w:pPr>
              <w:widowControl/>
              <w:spacing w:line="240" w:lineRule="auto"/>
              <w:ind w:firstLine="0" w:firstLineChars="0"/>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朝鲜语（第二学位）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25" w:type="pct"/>
            <w:vMerge w:val="continue"/>
            <w:vAlign w:val="center"/>
          </w:tcPr>
          <w:p>
            <w:pPr>
              <w:spacing w:line="240" w:lineRule="auto"/>
              <w:ind w:firstLine="0" w:firstLineChars="0"/>
              <w:jc w:val="center"/>
              <w:rPr>
                <w:rFonts w:ascii="宋体" w:hAnsi="宋体" w:cs="宋体"/>
                <w:color w:val="auto"/>
                <w:sz w:val="21"/>
                <w:szCs w:val="21"/>
                <w:highlight w:val="none"/>
              </w:rPr>
            </w:pPr>
          </w:p>
        </w:tc>
        <w:tc>
          <w:tcPr>
            <w:tcW w:w="1074" w:type="pct"/>
            <w:vMerge w:val="continue"/>
            <w:vAlign w:val="center"/>
          </w:tcPr>
          <w:p>
            <w:pPr>
              <w:spacing w:line="240" w:lineRule="auto"/>
              <w:ind w:firstLine="0" w:firstLineChars="0"/>
              <w:jc w:val="center"/>
              <w:rPr>
                <w:rFonts w:ascii="宋体" w:hAnsi="宋体" w:cs="宋体"/>
                <w:color w:val="auto"/>
                <w:sz w:val="21"/>
                <w:szCs w:val="21"/>
                <w:highlight w:val="none"/>
              </w:rPr>
            </w:pPr>
          </w:p>
        </w:tc>
        <w:tc>
          <w:tcPr>
            <w:tcW w:w="2100" w:type="pct"/>
            <w:vAlign w:val="center"/>
          </w:tcPr>
          <w:p>
            <w:pPr>
              <w:widowControl/>
              <w:spacing w:line="240" w:lineRule="auto"/>
              <w:ind w:firstLine="0" w:firstLineChars="0"/>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应用化学（专升本）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25" w:type="pct"/>
            <w:vMerge w:val="continue"/>
            <w:vAlign w:val="center"/>
          </w:tcPr>
          <w:p>
            <w:pPr>
              <w:spacing w:line="240" w:lineRule="auto"/>
              <w:ind w:firstLine="0" w:firstLineChars="0"/>
              <w:jc w:val="center"/>
              <w:rPr>
                <w:rFonts w:ascii="宋体" w:hAnsi="宋体" w:cs="宋体"/>
                <w:color w:val="auto"/>
                <w:sz w:val="21"/>
                <w:szCs w:val="21"/>
                <w:highlight w:val="none"/>
              </w:rPr>
            </w:pPr>
          </w:p>
        </w:tc>
        <w:tc>
          <w:tcPr>
            <w:tcW w:w="1074" w:type="pct"/>
            <w:vMerge w:val="continue"/>
            <w:vAlign w:val="center"/>
          </w:tcPr>
          <w:p>
            <w:pPr>
              <w:spacing w:line="240" w:lineRule="auto"/>
              <w:ind w:firstLine="0" w:firstLineChars="0"/>
              <w:jc w:val="center"/>
              <w:rPr>
                <w:rFonts w:ascii="宋体" w:hAnsi="宋体" w:cs="宋体"/>
                <w:color w:val="auto"/>
                <w:sz w:val="21"/>
                <w:szCs w:val="21"/>
                <w:highlight w:val="none"/>
              </w:rPr>
            </w:pPr>
          </w:p>
        </w:tc>
        <w:tc>
          <w:tcPr>
            <w:tcW w:w="2100" w:type="pct"/>
            <w:vAlign w:val="center"/>
          </w:tcPr>
          <w:p>
            <w:pPr>
              <w:widowControl/>
              <w:spacing w:line="240" w:lineRule="auto"/>
              <w:ind w:firstLine="0" w:firstLineChars="0"/>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高分子材料与工程（第二学位）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25" w:type="pct"/>
            <w:vMerge w:val="continue"/>
            <w:vAlign w:val="center"/>
          </w:tcPr>
          <w:p>
            <w:pPr>
              <w:spacing w:line="240" w:lineRule="auto"/>
              <w:ind w:firstLine="0" w:firstLineChars="0"/>
              <w:jc w:val="center"/>
              <w:rPr>
                <w:rFonts w:ascii="宋体" w:hAnsi="宋体" w:cs="宋体"/>
                <w:color w:val="auto"/>
                <w:sz w:val="21"/>
                <w:szCs w:val="21"/>
                <w:highlight w:val="none"/>
              </w:rPr>
            </w:pPr>
          </w:p>
        </w:tc>
        <w:tc>
          <w:tcPr>
            <w:tcW w:w="1074" w:type="pct"/>
            <w:vMerge w:val="continue"/>
            <w:vAlign w:val="center"/>
          </w:tcPr>
          <w:p>
            <w:pPr>
              <w:spacing w:line="240" w:lineRule="auto"/>
              <w:ind w:firstLine="0" w:firstLineChars="0"/>
              <w:jc w:val="center"/>
              <w:rPr>
                <w:rFonts w:ascii="宋体" w:hAnsi="宋体" w:cs="宋体"/>
                <w:color w:val="auto"/>
                <w:sz w:val="21"/>
                <w:szCs w:val="21"/>
                <w:highlight w:val="none"/>
              </w:rPr>
            </w:pPr>
          </w:p>
        </w:tc>
        <w:tc>
          <w:tcPr>
            <w:tcW w:w="2100" w:type="pct"/>
            <w:vAlign w:val="center"/>
          </w:tcPr>
          <w:p>
            <w:pPr>
              <w:widowControl/>
              <w:spacing w:line="240" w:lineRule="auto"/>
              <w:ind w:firstLine="0" w:firstLineChars="0"/>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电子商务（专升本）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825" w:type="pct"/>
            <w:vMerge w:val="continue"/>
            <w:vAlign w:val="center"/>
          </w:tcPr>
          <w:p>
            <w:pPr>
              <w:spacing w:line="240" w:lineRule="auto"/>
              <w:ind w:firstLine="0" w:firstLineChars="0"/>
              <w:jc w:val="center"/>
              <w:rPr>
                <w:rFonts w:ascii="宋体" w:hAnsi="宋体" w:cs="宋体"/>
                <w:color w:val="auto"/>
                <w:sz w:val="21"/>
                <w:szCs w:val="21"/>
                <w:highlight w:val="none"/>
              </w:rPr>
            </w:pPr>
          </w:p>
        </w:tc>
        <w:tc>
          <w:tcPr>
            <w:tcW w:w="1074" w:type="pct"/>
            <w:vMerge w:val="continue"/>
            <w:vAlign w:val="center"/>
          </w:tcPr>
          <w:p>
            <w:pPr>
              <w:spacing w:line="240" w:lineRule="auto"/>
              <w:ind w:firstLine="0" w:firstLineChars="0"/>
              <w:jc w:val="center"/>
              <w:rPr>
                <w:rFonts w:ascii="宋体" w:hAnsi="宋体" w:cs="宋体"/>
                <w:color w:val="auto"/>
                <w:sz w:val="21"/>
                <w:szCs w:val="21"/>
                <w:highlight w:val="none"/>
              </w:rPr>
            </w:pPr>
          </w:p>
        </w:tc>
        <w:tc>
          <w:tcPr>
            <w:tcW w:w="2100" w:type="pct"/>
            <w:vAlign w:val="center"/>
          </w:tcPr>
          <w:p>
            <w:pPr>
              <w:widowControl/>
              <w:spacing w:line="240" w:lineRule="auto"/>
              <w:ind w:firstLine="0" w:firstLineChars="0"/>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市场营销（专升本）</w:t>
            </w:r>
          </w:p>
        </w:tc>
      </w:tr>
    </w:tbl>
    <w:p>
      <w:pPr>
        <w:spacing w:before="312" w:beforeLines="100"/>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3-3各学科门类专业招生分布情况</w:t>
      </w:r>
    </w:p>
    <w:bookmarkEnd w:id="358"/>
    <w:tbl>
      <w:tblPr>
        <w:tblStyle w:val="18"/>
        <w:tblW w:w="84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174"/>
        <w:gridCol w:w="865"/>
        <w:gridCol w:w="2981"/>
        <w:gridCol w:w="2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atLeast"/>
          <w:jc w:val="center"/>
        </w:trPr>
        <w:tc>
          <w:tcPr>
            <w:tcW w:w="2174" w:type="dxa"/>
            <w:shd w:val="clear" w:color="auto" w:fill="FFFFFF"/>
            <w:tcMar>
              <w:top w:w="15" w:type="dxa"/>
              <w:left w:w="15" w:type="dxa"/>
              <w:right w:w="15" w:type="dxa"/>
            </w:tcMar>
            <w:vAlign w:val="center"/>
          </w:tcPr>
          <w:p>
            <w:pPr>
              <w:widowControl/>
              <w:ind w:firstLine="0" w:firstLineChars="0"/>
              <w:jc w:val="center"/>
              <w:textAlignment w:val="center"/>
              <w:rPr>
                <w:rFonts w:ascii="宋体" w:hAnsi="宋体" w:cs="宋体"/>
                <w:bCs/>
                <w:color w:val="auto"/>
                <w:sz w:val="21"/>
                <w:szCs w:val="21"/>
                <w:highlight w:val="none"/>
              </w:rPr>
            </w:pPr>
            <w:r>
              <w:rPr>
                <w:rFonts w:hint="eastAsia" w:ascii="宋体" w:hAnsi="宋体" w:cs="宋体"/>
                <w:bCs/>
                <w:color w:val="auto"/>
                <w:kern w:val="0"/>
                <w:sz w:val="21"/>
                <w:szCs w:val="21"/>
                <w:highlight w:val="none"/>
              </w:rPr>
              <w:t>学院名称</w:t>
            </w:r>
          </w:p>
        </w:tc>
        <w:tc>
          <w:tcPr>
            <w:tcW w:w="865" w:type="dxa"/>
            <w:shd w:val="clear" w:color="auto" w:fill="FFFFFF"/>
            <w:tcMar>
              <w:top w:w="15" w:type="dxa"/>
              <w:left w:w="15" w:type="dxa"/>
              <w:right w:w="15" w:type="dxa"/>
            </w:tcMar>
            <w:vAlign w:val="center"/>
          </w:tcPr>
          <w:p>
            <w:pPr>
              <w:widowControl/>
              <w:ind w:firstLine="0" w:firstLineChars="0"/>
              <w:jc w:val="center"/>
              <w:textAlignment w:val="center"/>
              <w:rPr>
                <w:rFonts w:ascii="宋体" w:hAnsi="宋体" w:cs="宋体"/>
                <w:bCs/>
                <w:color w:val="auto"/>
                <w:sz w:val="21"/>
                <w:szCs w:val="21"/>
                <w:highlight w:val="none"/>
              </w:rPr>
            </w:pPr>
            <w:r>
              <w:rPr>
                <w:rFonts w:hint="eastAsia" w:ascii="宋体" w:hAnsi="宋体" w:cs="宋体"/>
                <w:bCs/>
                <w:color w:val="auto"/>
                <w:kern w:val="0"/>
                <w:sz w:val="21"/>
                <w:szCs w:val="21"/>
                <w:highlight w:val="none"/>
              </w:rPr>
              <w:t>序号</w:t>
            </w:r>
          </w:p>
        </w:tc>
        <w:tc>
          <w:tcPr>
            <w:tcW w:w="2981" w:type="dxa"/>
            <w:shd w:val="clear" w:color="auto" w:fill="FFFFFF"/>
            <w:tcMar>
              <w:top w:w="15" w:type="dxa"/>
              <w:left w:w="15" w:type="dxa"/>
              <w:right w:w="15" w:type="dxa"/>
            </w:tcMar>
            <w:vAlign w:val="center"/>
          </w:tcPr>
          <w:p>
            <w:pPr>
              <w:widowControl/>
              <w:ind w:firstLine="0" w:firstLineChars="0"/>
              <w:jc w:val="center"/>
              <w:textAlignment w:val="center"/>
              <w:rPr>
                <w:rFonts w:ascii="宋体" w:hAnsi="宋体" w:cs="宋体"/>
                <w:bCs/>
                <w:color w:val="auto"/>
                <w:sz w:val="21"/>
                <w:szCs w:val="21"/>
                <w:highlight w:val="none"/>
              </w:rPr>
            </w:pPr>
            <w:r>
              <w:rPr>
                <w:rFonts w:hint="eastAsia" w:ascii="宋体" w:hAnsi="宋体" w:cs="宋体"/>
                <w:bCs/>
                <w:color w:val="auto"/>
                <w:kern w:val="0"/>
                <w:sz w:val="21"/>
                <w:szCs w:val="21"/>
                <w:highlight w:val="none"/>
              </w:rPr>
              <w:t>专业名称</w:t>
            </w:r>
          </w:p>
        </w:tc>
        <w:tc>
          <w:tcPr>
            <w:tcW w:w="2413" w:type="dxa"/>
            <w:shd w:val="clear" w:color="auto" w:fill="FFFFFF"/>
            <w:tcMar>
              <w:top w:w="15" w:type="dxa"/>
              <w:left w:w="15" w:type="dxa"/>
              <w:right w:w="15" w:type="dxa"/>
            </w:tcMar>
            <w:vAlign w:val="center"/>
          </w:tcPr>
          <w:p>
            <w:pPr>
              <w:widowControl/>
              <w:ind w:firstLine="0" w:firstLineChars="0"/>
              <w:jc w:val="center"/>
              <w:textAlignment w:val="center"/>
              <w:rPr>
                <w:rFonts w:ascii="宋体" w:hAnsi="宋体" w:cs="宋体"/>
                <w:bCs/>
                <w:color w:val="auto"/>
                <w:sz w:val="21"/>
                <w:szCs w:val="21"/>
                <w:highlight w:val="none"/>
              </w:rPr>
            </w:pPr>
            <w:r>
              <w:rPr>
                <w:rFonts w:hint="eastAsia" w:ascii="宋体" w:hAnsi="宋体" w:cs="宋体"/>
                <w:bCs/>
                <w:color w:val="auto"/>
                <w:kern w:val="0"/>
                <w:sz w:val="21"/>
                <w:szCs w:val="21"/>
                <w:highlight w:val="none"/>
              </w:rPr>
              <w:t>学科门类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2174" w:type="dxa"/>
            <w:vMerge w:val="restart"/>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经济学院</w:t>
            </w: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1</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经济学</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经济学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2</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金融工程</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经济学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2174" w:type="dxa"/>
            <w:vMerge w:val="restart"/>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沈钧儒法学院</w:t>
            </w: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3</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法学</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法学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4</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知识产权</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法学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restart"/>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公共管理学院</w:t>
            </w: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5</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社会工作</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法学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hint="eastAsia"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社会学</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法学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lang w:val="en-US" w:eastAsia="zh-CN"/>
              </w:rPr>
              <w:t>7</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行政管理</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管理学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马克思主义学院</w:t>
            </w: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lang w:val="en-US" w:eastAsia="zh-CN"/>
              </w:rPr>
              <w:t>8</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思想政治教育</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法学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restart"/>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经亨颐教育学院</w:t>
            </w: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lang w:val="en-US" w:eastAsia="zh-CN"/>
              </w:rPr>
              <w:t>9</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应用心理学</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10</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教育技术学</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教育学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11</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小学教育</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教育学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12</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学前教育</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教育学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13</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特殊教育</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教育学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restart"/>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体育学院</w:t>
            </w: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14</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体育教育</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教育学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15</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休闲体育</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教育学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16</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武术与民族传统体育</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教育学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restart"/>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人文学院</w:t>
            </w: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17</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汉语言文学</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文学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18</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历史学</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历史学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19</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汉语国际教育</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文学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restart"/>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外国语学院</w:t>
            </w: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20</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英语</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文学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21</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日语</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文学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22</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朝鲜语</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文学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23</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翻译</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文学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restart"/>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数学学院</w:t>
            </w: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24</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数学与应用数学</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25</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数据科学与大数据技术</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26</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统计学</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restart"/>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物理学院</w:t>
            </w: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27</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物理学</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28</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科学教育</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教育学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restart"/>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材料与化学化工学院</w:t>
            </w: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29</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化学</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30</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应用化学</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31</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高分子材料与工程</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工学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32</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制药工程</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工学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restart"/>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生命与环境科学院</w:t>
            </w: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33</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生物科学</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3</w:t>
            </w:r>
            <w:r>
              <w:rPr>
                <w:rFonts w:ascii="宋体" w:hAnsi="宋体" w:cs="宋体"/>
                <w:color w:val="auto"/>
                <w:kern w:val="0"/>
                <w:sz w:val="21"/>
                <w:szCs w:val="21"/>
                <w:highlight w:val="none"/>
              </w:rPr>
              <w:t>4</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生物技术</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3</w:t>
            </w:r>
            <w:r>
              <w:rPr>
                <w:rFonts w:ascii="宋体" w:hAnsi="宋体" w:cs="宋体"/>
                <w:color w:val="auto"/>
                <w:kern w:val="0"/>
                <w:sz w:val="21"/>
                <w:szCs w:val="21"/>
                <w:highlight w:val="none"/>
              </w:rPr>
              <w:t>5</w:t>
            </w:r>
          </w:p>
        </w:tc>
        <w:tc>
          <w:tcPr>
            <w:tcW w:w="2981"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生态学</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restart"/>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信息科学与技术学院</w:t>
            </w: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3</w:t>
            </w:r>
            <w:r>
              <w:rPr>
                <w:rFonts w:ascii="宋体" w:hAnsi="宋体" w:cs="宋体"/>
                <w:color w:val="auto"/>
                <w:kern w:val="0"/>
                <w:sz w:val="21"/>
                <w:szCs w:val="21"/>
                <w:highlight w:val="none"/>
              </w:rPr>
              <w:t>6</w:t>
            </w:r>
          </w:p>
        </w:tc>
        <w:tc>
          <w:tcPr>
            <w:tcW w:w="2981"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计算机科学与技术</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工学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3</w:t>
            </w:r>
            <w:r>
              <w:rPr>
                <w:rFonts w:ascii="宋体" w:hAnsi="宋体" w:cs="宋体"/>
                <w:color w:val="auto"/>
                <w:kern w:val="0"/>
                <w:sz w:val="21"/>
                <w:szCs w:val="21"/>
                <w:highlight w:val="none"/>
              </w:rPr>
              <w:t>7</w:t>
            </w:r>
          </w:p>
        </w:tc>
        <w:tc>
          <w:tcPr>
            <w:tcW w:w="2981"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电子信息工程</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工学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3</w:t>
            </w:r>
            <w:r>
              <w:rPr>
                <w:rFonts w:ascii="宋体" w:hAnsi="宋体" w:cs="宋体"/>
                <w:color w:val="auto"/>
                <w:kern w:val="0"/>
                <w:sz w:val="21"/>
                <w:szCs w:val="21"/>
                <w:highlight w:val="none"/>
              </w:rPr>
              <w:t>8</w:t>
            </w:r>
          </w:p>
        </w:tc>
        <w:tc>
          <w:tcPr>
            <w:tcW w:w="2981"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软件工程</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工学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ascii="宋体" w:hAnsi="宋体" w:cs="宋体"/>
                <w:color w:val="auto"/>
                <w:kern w:val="0"/>
                <w:sz w:val="21"/>
                <w:szCs w:val="21"/>
                <w:highlight w:val="none"/>
              </w:rPr>
              <w:t>39</w:t>
            </w:r>
          </w:p>
        </w:tc>
        <w:tc>
          <w:tcPr>
            <w:tcW w:w="2981"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地理信息科学</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restart"/>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附属医院（临床医学院、口腔医学院）</w:t>
            </w: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4</w:t>
            </w:r>
            <w:r>
              <w:rPr>
                <w:rFonts w:ascii="宋体" w:hAnsi="宋体" w:cs="宋体"/>
                <w:color w:val="auto"/>
                <w:kern w:val="0"/>
                <w:sz w:val="21"/>
                <w:szCs w:val="21"/>
                <w:highlight w:val="none"/>
              </w:rPr>
              <w:t>0</w:t>
            </w:r>
          </w:p>
        </w:tc>
        <w:tc>
          <w:tcPr>
            <w:tcW w:w="2981"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临床医学</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医学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4</w:t>
            </w:r>
            <w:r>
              <w:rPr>
                <w:rFonts w:ascii="宋体" w:hAnsi="宋体" w:cs="宋体"/>
                <w:color w:val="auto"/>
                <w:kern w:val="0"/>
                <w:sz w:val="21"/>
                <w:szCs w:val="21"/>
                <w:highlight w:val="none"/>
              </w:rPr>
              <w:t>1</w:t>
            </w:r>
          </w:p>
        </w:tc>
        <w:tc>
          <w:tcPr>
            <w:tcW w:w="2981"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口腔医学</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医学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药学院</w:t>
            </w: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4</w:t>
            </w:r>
            <w:r>
              <w:rPr>
                <w:rFonts w:ascii="宋体" w:hAnsi="宋体" w:cs="宋体"/>
                <w:color w:val="auto"/>
                <w:kern w:val="0"/>
                <w:sz w:val="21"/>
                <w:szCs w:val="21"/>
                <w:highlight w:val="none"/>
              </w:rPr>
              <w:t>2</w:t>
            </w:r>
          </w:p>
        </w:tc>
        <w:tc>
          <w:tcPr>
            <w:tcW w:w="2981"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药学</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医学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jc w:val="center"/>
        </w:trPr>
        <w:tc>
          <w:tcPr>
            <w:tcW w:w="2174" w:type="dxa"/>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护理学院</w:t>
            </w: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4</w:t>
            </w:r>
            <w:r>
              <w:rPr>
                <w:rFonts w:ascii="宋体" w:hAnsi="宋体" w:cs="宋体"/>
                <w:color w:val="auto"/>
                <w:kern w:val="0"/>
                <w:sz w:val="21"/>
                <w:szCs w:val="21"/>
                <w:highlight w:val="none"/>
              </w:rPr>
              <w:t>3</w:t>
            </w:r>
          </w:p>
        </w:tc>
        <w:tc>
          <w:tcPr>
            <w:tcW w:w="2981"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护理学</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医学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2174" w:type="dxa"/>
            <w:vMerge w:val="restart"/>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公共卫生学院</w:t>
            </w: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4</w:t>
            </w:r>
            <w:r>
              <w:rPr>
                <w:rFonts w:ascii="宋体" w:hAnsi="宋体" w:cs="宋体"/>
                <w:color w:val="auto"/>
                <w:kern w:val="0"/>
                <w:sz w:val="21"/>
                <w:szCs w:val="21"/>
                <w:highlight w:val="none"/>
              </w:rPr>
              <w:t>4</w:t>
            </w:r>
          </w:p>
        </w:tc>
        <w:tc>
          <w:tcPr>
            <w:tcW w:w="2981"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公共事业管理</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管理学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4</w:t>
            </w:r>
            <w:r>
              <w:rPr>
                <w:rFonts w:ascii="宋体" w:hAnsi="宋体" w:cs="宋体"/>
                <w:color w:val="auto"/>
                <w:kern w:val="0"/>
                <w:sz w:val="21"/>
                <w:szCs w:val="21"/>
                <w:highlight w:val="none"/>
              </w:rPr>
              <w:t>5</w:t>
            </w:r>
          </w:p>
        </w:tc>
        <w:tc>
          <w:tcPr>
            <w:tcW w:w="2981"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健康服务与管理</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管理学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4</w:t>
            </w:r>
            <w:r>
              <w:rPr>
                <w:rFonts w:ascii="宋体" w:hAnsi="宋体" w:cs="宋体"/>
                <w:color w:val="auto"/>
                <w:kern w:val="0"/>
                <w:sz w:val="21"/>
                <w:szCs w:val="21"/>
                <w:highlight w:val="none"/>
              </w:rPr>
              <w:t>6</w:t>
            </w:r>
          </w:p>
        </w:tc>
        <w:tc>
          <w:tcPr>
            <w:tcW w:w="2981"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预防医学</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医学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2174" w:type="dxa"/>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基础医学院</w:t>
            </w: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47</w:t>
            </w:r>
          </w:p>
        </w:tc>
        <w:tc>
          <w:tcPr>
            <w:tcW w:w="2981"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基础医学</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医学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2174" w:type="dxa"/>
            <w:vMerge w:val="restart"/>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阿里巴巴商学院</w:t>
            </w: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48</w:t>
            </w:r>
          </w:p>
        </w:tc>
        <w:tc>
          <w:tcPr>
            <w:tcW w:w="2981"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电子商务</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管理学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49</w:t>
            </w:r>
          </w:p>
        </w:tc>
        <w:tc>
          <w:tcPr>
            <w:tcW w:w="2981"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国际商务</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管理学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5</w:t>
            </w:r>
            <w:r>
              <w:rPr>
                <w:rFonts w:ascii="宋体" w:hAnsi="宋体" w:cs="宋体"/>
                <w:color w:val="auto"/>
                <w:kern w:val="0"/>
                <w:sz w:val="21"/>
                <w:szCs w:val="21"/>
                <w:highlight w:val="none"/>
              </w:rPr>
              <w:t>0</w:t>
            </w:r>
          </w:p>
        </w:tc>
        <w:tc>
          <w:tcPr>
            <w:tcW w:w="2981"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大数据管理与应用</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管理学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5</w:t>
            </w:r>
            <w:r>
              <w:rPr>
                <w:rFonts w:ascii="宋体" w:hAnsi="宋体" w:cs="宋体"/>
                <w:color w:val="auto"/>
                <w:kern w:val="0"/>
                <w:sz w:val="21"/>
                <w:szCs w:val="21"/>
                <w:highlight w:val="none"/>
              </w:rPr>
              <w:t>1</w:t>
            </w:r>
          </w:p>
        </w:tc>
        <w:tc>
          <w:tcPr>
            <w:tcW w:w="2981"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会计学</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管理学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5</w:t>
            </w:r>
            <w:r>
              <w:rPr>
                <w:rFonts w:ascii="宋体" w:hAnsi="宋体" w:cs="宋体"/>
                <w:color w:val="auto"/>
                <w:kern w:val="0"/>
                <w:sz w:val="21"/>
                <w:szCs w:val="21"/>
                <w:highlight w:val="none"/>
              </w:rPr>
              <w:t>2</w:t>
            </w:r>
          </w:p>
        </w:tc>
        <w:tc>
          <w:tcPr>
            <w:tcW w:w="2981"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旅游管理</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管理学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2174" w:type="dxa"/>
            <w:vMerge w:val="restart"/>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美术学院</w:t>
            </w: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5</w:t>
            </w:r>
            <w:r>
              <w:rPr>
                <w:rFonts w:hint="eastAsia" w:ascii="宋体" w:hAnsi="宋体" w:cs="宋体"/>
                <w:color w:val="auto"/>
                <w:kern w:val="0"/>
                <w:sz w:val="21"/>
                <w:szCs w:val="21"/>
                <w:highlight w:val="none"/>
                <w:lang w:val="en-US" w:eastAsia="zh-CN"/>
              </w:rPr>
              <w:t>3</w:t>
            </w:r>
          </w:p>
        </w:tc>
        <w:tc>
          <w:tcPr>
            <w:tcW w:w="2981"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美术学</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5</w:t>
            </w:r>
            <w:r>
              <w:rPr>
                <w:rFonts w:hint="eastAsia" w:ascii="宋体" w:hAnsi="宋体" w:cs="宋体"/>
                <w:color w:val="auto"/>
                <w:kern w:val="0"/>
                <w:sz w:val="21"/>
                <w:szCs w:val="21"/>
                <w:highlight w:val="none"/>
                <w:lang w:val="en-US" w:eastAsia="zh-CN"/>
              </w:rPr>
              <w:t>4</w:t>
            </w:r>
          </w:p>
        </w:tc>
        <w:tc>
          <w:tcPr>
            <w:tcW w:w="2981"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绘画</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5</w:t>
            </w:r>
            <w:r>
              <w:rPr>
                <w:rFonts w:hint="eastAsia" w:ascii="宋体" w:hAnsi="宋体" w:cs="宋体"/>
                <w:color w:val="auto"/>
                <w:kern w:val="0"/>
                <w:sz w:val="21"/>
                <w:szCs w:val="21"/>
                <w:highlight w:val="none"/>
                <w:lang w:val="en-US" w:eastAsia="zh-CN"/>
              </w:rPr>
              <w:t>5</w:t>
            </w:r>
          </w:p>
        </w:tc>
        <w:tc>
          <w:tcPr>
            <w:tcW w:w="2981"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公共艺术</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56</w:t>
            </w:r>
          </w:p>
        </w:tc>
        <w:tc>
          <w:tcPr>
            <w:tcW w:w="2981"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书法学</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5</w:t>
            </w:r>
            <w:r>
              <w:rPr>
                <w:rFonts w:ascii="宋体" w:hAnsi="宋体" w:cs="宋体"/>
                <w:color w:val="auto"/>
                <w:kern w:val="0"/>
                <w:sz w:val="21"/>
                <w:szCs w:val="21"/>
                <w:highlight w:val="none"/>
              </w:rPr>
              <w:t>7</w:t>
            </w:r>
          </w:p>
        </w:tc>
        <w:tc>
          <w:tcPr>
            <w:tcW w:w="2981"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视觉传达设计</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5</w:t>
            </w:r>
            <w:r>
              <w:rPr>
                <w:rFonts w:ascii="宋体" w:hAnsi="宋体" w:cs="宋体"/>
                <w:color w:val="auto"/>
                <w:kern w:val="0"/>
                <w:sz w:val="21"/>
                <w:szCs w:val="21"/>
                <w:highlight w:val="none"/>
              </w:rPr>
              <w:t>8</w:t>
            </w:r>
          </w:p>
        </w:tc>
        <w:tc>
          <w:tcPr>
            <w:tcW w:w="2981"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环境设计</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2174" w:type="dxa"/>
            <w:vMerge w:val="restart"/>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文化创意与传媒学院</w:t>
            </w: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5</w:t>
            </w:r>
            <w:r>
              <w:rPr>
                <w:rFonts w:ascii="宋体" w:hAnsi="宋体" w:cs="宋体"/>
                <w:color w:val="auto"/>
                <w:kern w:val="0"/>
                <w:sz w:val="21"/>
                <w:szCs w:val="21"/>
                <w:highlight w:val="none"/>
              </w:rPr>
              <w:t>9</w:t>
            </w:r>
          </w:p>
        </w:tc>
        <w:tc>
          <w:tcPr>
            <w:tcW w:w="2981"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动画</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ascii="宋体" w:hAnsi="宋体" w:cs="宋体"/>
                <w:color w:val="auto"/>
                <w:kern w:val="0"/>
                <w:sz w:val="21"/>
                <w:szCs w:val="21"/>
                <w:highlight w:val="none"/>
              </w:rPr>
              <w:t>60</w:t>
            </w:r>
          </w:p>
        </w:tc>
        <w:tc>
          <w:tcPr>
            <w:tcW w:w="2981"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文化产业管理</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ascii="宋体" w:hAnsi="宋体" w:cs="宋体"/>
                <w:color w:val="auto"/>
                <w:kern w:val="0"/>
                <w:sz w:val="21"/>
                <w:szCs w:val="21"/>
                <w:highlight w:val="none"/>
              </w:rPr>
              <w:t>61</w:t>
            </w:r>
          </w:p>
        </w:tc>
        <w:tc>
          <w:tcPr>
            <w:tcW w:w="2981"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数字媒体艺术</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6</w:t>
            </w:r>
            <w:r>
              <w:rPr>
                <w:rFonts w:ascii="宋体" w:hAnsi="宋体" w:cs="宋体"/>
                <w:color w:val="auto"/>
                <w:kern w:val="0"/>
                <w:sz w:val="21"/>
                <w:szCs w:val="21"/>
                <w:highlight w:val="none"/>
              </w:rPr>
              <w:t>2</w:t>
            </w:r>
          </w:p>
        </w:tc>
        <w:tc>
          <w:tcPr>
            <w:tcW w:w="2981"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播音与主持艺术</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6</w:t>
            </w:r>
            <w:r>
              <w:rPr>
                <w:rFonts w:ascii="宋体" w:hAnsi="宋体" w:cs="宋体"/>
                <w:color w:val="auto"/>
                <w:kern w:val="0"/>
                <w:sz w:val="21"/>
                <w:szCs w:val="21"/>
                <w:highlight w:val="none"/>
              </w:rPr>
              <w:t>3</w:t>
            </w:r>
          </w:p>
        </w:tc>
        <w:tc>
          <w:tcPr>
            <w:tcW w:w="2981"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广播电视编导</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2174" w:type="dxa"/>
            <w:vMerge w:val="restart"/>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音乐学院</w:t>
            </w: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ascii="宋体" w:hAnsi="宋体" w:cs="宋体"/>
                <w:color w:val="auto"/>
                <w:kern w:val="0"/>
                <w:sz w:val="21"/>
                <w:szCs w:val="21"/>
                <w:highlight w:val="none"/>
              </w:rPr>
              <w:t>64</w:t>
            </w:r>
          </w:p>
        </w:tc>
        <w:tc>
          <w:tcPr>
            <w:tcW w:w="2981" w:type="dxa"/>
            <w:shd w:val="clear" w:color="auto" w:fill="FFFFFF" w:themeFill="background1"/>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音乐学</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ascii="宋体" w:hAnsi="宋体" w:cs="宋体"/>
                <w:color w:val="auto"/>
                <w:kern w:val="0"/>
                <w:sz w:val="21"/>
                <w:szCs w:val="21"/>
                <w:highlight w:val="none"/>
              </w:rPr>
              <w:t>65</w:t>
            </w:r>
          </w:p>
        </w:tc>
        <w:tc>
          <w:tcPr>
            <w:tcW w:w="2981" w:type="dxa"/>
            <w:shd w:val="clear" w:color="auto" w:fill="FFFFFF" w:themeFill="background1"/>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舞蹈学</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2174" w:type="dxa"/>
            <w:vMerge w:val="restart"/>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工学院</w:t>
            </w: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ascii="宋体" w:hAnsi="宋体" w:cs="宋体"/>
                <w:color w:val="auto"/>
                <w:kern w:val="0"/>
                <w:sz w:val="21"/>
                <w:szCs w:val="21"/>
                <w:highlight w:val="none"/>
              </w:rPr>
              <w:t>66</w:t>
            </w:r>
          </w:p>
        </w:tc>
        <w:tc>
          <w:tcPr>
            <w:tcW w:w="2981" w:type="dxa"/>
            <w:shd w:val="clear" w:color="auto" w:fill="FFFFFF" w:themeFill="background1"/>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工业设计</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工学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ascii="宋体" w:hAnsi="宋体" w:eastAsia="宋体" w:cs="宋体"/>
                <w:color w:val="auto"/>
                <w:kern w:val="0"/>
                <w:sz w:val="21"/>
                <w:szCs w:val="21"/>
                <w:highlight w:val="none"/>
                <w:lang w:val="en-US" w:eastAsia="zh-CN" w:bidi="ar-SA"/>
              </w:rPr>
            </w:pPr>
            <w:r>
              <w:rPr>
                <w:rFonts w:ascii="宋体" w:hAnsi="宋体" w:cs="宋体"/>
                <w:color w:val="auto"/>
                <w:kern w:val="0"/>
                <w:sz w:val="21"/>
                <w:szCs w:val="21"/>
                <w:highlight w:val="none"/>
              </w:rPr>
              <w:t>67</w:t>
            </w:r>
          </w:p>
        </w:tc>
        <w:tc>
          <w:tcPr>
            <w:tcW w:w="2981" w:type="dxa"/>
            <w:shd w:val="clear" w:color="auto" w:fill="FFFFFF" w:themeFill="background1"/>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环境工程</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工学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rPr>
              <w:t>6</w:t>
            </w:r>
            <w:r>
              <w:rPr>
                <w:rFonts w:ascii="宋体" w:hAnsi="宋体" w:cs="宋体"/>
                <w:color w:val="auto"/>
                <w:kern w:val="0"/>
                <w:sz w:val="21"/>
                <w:szCs w:val="21"/>
                <w:highlight w:val="none"/>
              </w:rPr>
              <w:t>8</w:t>
            </w:r>
          </w:p>
        </w:tc>
        <w:tc>
          <w:tcPr>
            <w:tcW w:w="2981" w:type="dxa"/>
            <w:shd w:val="clear" w:color="auto" w:fill="FFFFFF" w:themeFill="background1"/>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机械设计制造及其自动化</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工学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2174" w:type="dxa"/>
            <w:vMerge w:val="restart"/>
            <w:shd w:val="clear" w:color="auto" w:fill="FFFFFF"/>
            <w:tcMar>
              <w:top w:w="15" w:type="dxa"/>
              <w:left w:w="15" w:type="dxa"/>
              <w:right w:w="15" w:type="dxa"/>
            </w:tcMar>
            <w:vAlign w:val="center"/>
          </w:tcPr>
          <w:p>
            <w:pPr>
              <w:widowControl/>
              <w:spacing w:line="260" w:lineRule="exact"/>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哈尔科夫学院</w:t>
            </w: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69</w:t>
            </w:r>
          </w:p>
        </w:tc>
        <w:tc>
          <w:tcPr>
            <w:tcW w:w="2981" w:type="dxa"/>
            <w:shd w:val="clear" w:color="auto" w:fill="FFFFFF" w:themeFill="background1"/>
            <w:noWrap/>
            <w:tcMar>
              <w:top w:w="15" w:type="dxa"/>
              <w:left w:w="15" w:type="dxa"/>
              <w:right w:w="15" w:type="dxa"/>
            </w:tcMar>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default" w:ascii="宋体" w:hAnsi="宋体" w:cs="宋体"/>
                <w:color w:val="auto"/>
                <w:kern w:val="0"/>
                <w:sz w:val="21"/>
                <w:szCs w:val="21"/>
                <w:highlight w:val="none"/>
                <w:lang w:val="en-US" w:eastAsia="zh-CN"/>
              </w:rPr>
              <w:t>高分子材料与工程（合作办学）</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工学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70</w:t>
            </w:r>
          </w:p>
        </w:tc>
        <w:tc>
          <w:tcPr>
            <w:tcW w:w="2981" w:type="dxa"/>
            <w:shd w:val="clear" w:color="auto" w:fill="FFFFFF" w:themeFill="background1"/>
            <w:noWrap/>
            <w:tcMar>
              <w:top w:w="15" w:type="dxa"/>
              <w:left w:w="15" w:type="dxa"/>
              <w:right w:w="15" w:type="dxa"/>
            </w:tcMar>
            <w:vAlign w:val="center"/>
          </w:tcPr>
          <w:p>
            <w:pPr>
              <w:widowControl/>
              <w:spacing w:line="260" w:lineRule="exact"/>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应用化学（合作办学）</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2174" w:type="dxa"/>
            <w:vMerge w:val="continue"/>
            <w:shd w:val="clear" w:color="auto" w:fill="FFFFFF"/>
            <w:tcMar>
              <w:top w:w="15" w:type="dxa"/>
              <w:left w:w="15" w:type="dxa"/>
              <w:right w:w="15" w:type="dxa"/>
            </w:tcMar>
            <w:vAlign w:val="center"/>
          </w:tcPr>
          <w:p>
            <w:pPr>
              <w:widowControl/>
              <w:spacing w:line="260" w:lineRule="exact"/>
              <w:ind w:firstLine="0" w:firstLineChars="0"/>
              <w:jc w:val="center"/>
              <w:rPr>
                <w:rFonts w:ascii="宋体" w:hAnsi="宋体" w:cs="宋体"/>
                <w:color w:val="auto"/>
                <w:kern w:val="0"/>
                <w:sz w:val="21"/>
                <w:szCs w:val="21"/>
                <w:highlight w:val="none"/>
              </w:rPr>
            </w:pPr>
          </w:p>
        </w:tc>
        <w:tc>
          <w:tcPr>
            <w:tcW w:w="865" w:type="dxa"/>
            <w:shd w:val="clear" w:color="auto" w:fill="auto"/>
            <w:noWrap/>
            <w:tcMar>
              <w:top w:w="15" w:type="dxa"/>
              <w:left w:w="15" w:type="dxa"/>
              <w:right w:w="15" w:type="dxa"/>
            </w:tcMar>
            <w:vAlign w:val="center"/>
          </w:tcPr>
          <w:p>
            <w:pPr>
              <w:widowControl/>
              <w:spacing w:line="260" w:lineRule="exact"/>
              <w:ind w:firstLine="0" w:firstLineChars="0"/>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71</w:t>
            </w:r>
          </w:p>
        </w:tc>
        <w:tc>
          <w:tcPr>
            <w:tcW w:w="2981" w:type="dxa"/>
            <w:shd w:val="clear" w:color="auto" w:fill="FFFFFF" w:themeFill="background1"/>
            <w:noWrap/>
            <w:tcMar>
              <w:top w:w="15" w:type="dxa"/>
              <w:left w:w="15" w:type="dxa"/>
              <w:right w:w="15" w:type="dxa"/>
            </w:tcMar>
            <w:vAlign w:val="center"/>
          </w:tcPr>
          <w:p>
            <w:pPr>
              <w:widowControl/>
              <w:spacing w:line="260" w:lineRule="exact"/>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地理信息科学（合作办学）</w:t>
            </w:r>
          </w:p>
        </w:tc>
        <w:tc>
          <w:tcPr>
            <w:tcW w:w="2413" w:type="dxa"/>
            <w:shd w:val="clear" w:color="auto" w:fill="FFFFFF"/>
            <w:noWrap/>
            <w:tcMar>
              <w:top w:w="15" w:type="dxa"/>
              <w:left w:w="15" w:type="dxa"/>
              <w:right w:w="15" w:type="dxa"/>
            </w:tcMar>
            <w:vAlign w:val="center"/>
          </w:tcPr>
          <w:p>
            <w:pPr>
              <w:widowControl/>
              <w:spacing w:line="260" w:lineRule="exact"/>
              <w:ind w:firstLine="0" w:firstLineChars="0"/>
              <w:jc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理学</w:t>
            </w:r>
          </w:p>
        </w:tc>
      </w:tr>
    </w:tbl>
    <w:p>
      <w:pPr>
        <w:widowControl/>
        <w:spacing w:line="240" w:lineRule="auto"/>
        <w:ind w:firstLine="0" w:firstLineChars="0"/>
        <w:jc w:val="center"/>
        <w:rPr>
          <w:rFonts w:ascii="宋体" w:hAnsi="宋体" w:cs="宋体"/>
          <w:color w:val="auto"/>
          <w:sz w:val="21"/>
          <w:szCs w:val="21"/>
          <w:highlight w:val="none"/>
        </w:rPr>
      </w:pPr>
    </w:p>
    <w:bookmarkEnd w:id="354"/>
    <w:bookmarkEnd w:id="355"/>
    <w:bookmarkEnd w:id="356"/>
    <w:bookmarkEnd w:id="357"/>
    <w:p>
      <w:pPr>
        <w:pStyle w:val="3"/>
        <w:spacing w:before="156" w:after="156"/>
        <w:rPr>
          <w:rFonts w:ascii="宋体" w:hAnsi="宋体" w:eastAsia="宋体" w:cs="宋体"/>
          <w:color w:val="auto"/>
          <w:szCs w:val="21"/>
          <w:highlight w:val="none"/>
        </w:rPr>
      </w:pPr>
      <w:bookmarkStart w:id="359" w:name="_Toc27327"/>
      <w:bookmarkStart w:id="360" w:name="_Toc13300"/>
      <w:bookmarkStart w:id="361" w:name="_Toc22497"/>
      <w:r>
        <w:rPr>
          <w:rFonts w:hint="eastAsia" w:ascii="宋体" w:hAnsi="宋体" w:eastAsia="宋体" w:cs="宋体"/>
          <w:color w:val="auto"/>
          <w:szCs w:val="21"/>
          <w:highlight w:val="none"/>
        </w:rPr>
        <w:t>4.当年各本科专业（类）招生人数及实际报到率</w:t>
      </w:r>
      <w:bookmarkEnd w:id="359"/>
      <w:bookmarkEnd w:id="360"/>
      <w:bookmarkEnd w:id="361"/>
    </w:p>
    <w:tbl>
      <w:tblPr>
        <w:tblStyle w:val="18"/>
        <w:tblW w:w="8201" w:type="dxa"/>
        <w:tblInd w:w="129" w:type="dxa"/>
        <w:tblLayout w:type="fixed"/>
        <w:tblCellMar>
          <w:top w:w="0" w:type="dxa"/>
          <w:left w:w="108" w:type="dxa"/>
          <w:bottom w:w="0" w:type="dxa"/>
          <w:right w:w="108" w:type="dxa"/>
        </w:tblCellMar>
      </w:tblPr>
      <w:tblGrid>
        <w:gridCol w:w="794"/>
        <w:gridCol w:w="4973"/>
        <w:gridCol w:w="750"/>
        <w:gridCol w:w="1684"/>
      </w:tblGrid>
      <w:tr>
        <w:tblPrEx>
          <w:tblCellMar>
            <w:top w:w="0" w:type="dxa"/>
            <w:left w:w="108" w:type="dxa"/>
            <w:bottom w:w="0" w:type="dxa"/>
            <w:right w:w="108" w:type="dxa"/>
          </w:tblCellMar>
        </w:tblPrEx>
        <w:trPr>
          <w:trHeight w:val="639" w:hRule="atLeast"/>
        </w:trPr>
        <w:tc>
          <w:tcPr>
            <w:tcW w:w="7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序号</w:t>
            </w:r>
          </w:p>
        </w:tc>
        <w:tc>
          <w:tcPr>
            <w:tcW w:w="497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专业名称</w:t>
            </w:r>
          </w:p>
        </w:tc>
        <w:tc>
          <w:tcPr>
            <w:tcW w:w="7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招生人数</w:t>
            </w:r>
          </w:p>
        </w:tc>
        <w:tc>
          <w:tcPr>
            <w:tcW w:w="168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实际报到率（%）</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播音与主持艺术</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35</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2</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朝鲜语</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20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3</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大数据管理与应用</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60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地理信息科学</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60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5</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地理信息科学（中外合作）</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60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6</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电子商务</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7</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电子商务（数字经济创新实验班）</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8</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电子信息工程</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41</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9</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动画</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50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法学</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160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11</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翻译</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35</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12</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高分子材料与工程</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39</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13</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高分子材料与工程（中外合作）</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60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98.33</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14</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工业设计</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15</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公共事业管理（卫生事业管理方向）</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60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16</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公共艺术</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w:t>
            </w:r>
            <w:r>
              <w:rPr>
                <w:rFonts w:hint="eastAsia" w:ascii="宋体" w:hAnsi="宋体" w:cs="宋体"/>
                <w:color w:val="auto"/>
                <w:kern w:val="0"/>
                <w:sz w:val="21"/>
                <w:szCs w:val="21"/>
                <w:highlight w:val="none"/>
                <w:lang w:val="en-US" w:eastAsia="zh-CN"/>
              </w:rPr>
              <w:t>1</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17</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广播电视编导</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35</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18</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国际商务</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79</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19</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汉语国际教育</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25</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20</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汉语言文学</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30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21</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汉语言文学（经亨颐实验班）（师范）</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240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22</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护理学</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201</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23</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护理学（中本一体化）</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79</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98.73</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24</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化学（师范）</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200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25</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环境工程</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67</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26</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环境工程（专升本）</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50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27</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环境设计</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w:t>
            </w:r>
            <w:r>
              <w:rPr>
                <w:rFonts w:hint="eastAsia" w:ascii="宋体" w:hAnsi="宋体" w:cs="宋体"/>
                <w:color w:val="auto"/>
                <w:kern w:val="0"/>
                <w:sz w:val="21"/>
                <w:szCs w:val="21"/>
                <w:highlight w:val="none"/>
                <w:lang w:val="en-US" w:eastAsia="zh-CN"/>
              </w:rPr>
              <w:t>2</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default" w:ascii="宋体" w:hAnsi="宋体" w:cs="宋体"/>
                <w:color w:val="auto"/>
                <w:kern w:val="0"/>
                <w:sz w:val="21"/>
                <w:szCs w:val="21"/>
                <w:highlight w:val="none"/>
                <w:lang w:val="en-US"/>
              </w:rPr>
            </w:pPr>
            <w:r>
              <w:rPr>
                <w:rFonts w:hint="default" w:ascii="宋体" w:hAnsi="宋体" w:cs="宋体"/>
                <w:color w:val="auto"/>
                <w:kern w:val="0"/>
                <w:sz w:val="21"/>
                <w:szCs w:val="21"/>
                <w:highlight w:val="none"/>
                <w:lang w:val="en-US" w:eastAsia="zh-CN"/>
              </w:rPr>
              <w:t>100.0</w:t>
            </w:r>
            <w:r>
              <w:rPr>
                <w:rFonts w:hint="eastAsia" w:ascii="宋体" w:hAnsi="宋体" w:cs="宋体"/>
                <w:color w:val="auto"/>
                <w:kern w:val="0"/>
                <w:sz w:val="21"/>
                <w:szCs w:val="21"/>
                <w:highlight w:val="none"/>
                <w:lang w:val="en-US" w:eastAsia="zh-CN"/>
              </w:rPr>
              <w:t>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28</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会计学</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80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29</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绘画</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50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30</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机械设计制造及其自动化</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68</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31</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机械设计制造及其自动化（专升本）</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41</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97.56</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32</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基础医学</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22</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33</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计算机科学与技术</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default" w:ascii="宋体" w:hAnsi="宋体" w:cs="宋体"/>
                <w:color w:val="auto"/>
                <w:kern w:val="0"/>
                <w:sz w:val="21"/>
                <w:szCs w:val="21"/>
                <w:highlight w:val="none"/>
                <w:lang w:val="en-US"/>
              </w:rPr>
            </w:pPr>
            <w:r>
              <w:rPr>
                <w:rFonts w:hint="default" w:ascii="宋体" w:hAnsi="宋体" w:cs="宋体"/>
                <w:color w:val="auto"/>
                <w:kern w:val="0"/>
                <w:sz w:val="21"/>
                <w:szCs w:val="21"/>
                <w:highlight w:val="none"/>
                <w:lang w:val="en-US" w:eastAsia="zh-CN"/>
              </w:rPr>
              <w:t>14</w:t>
            </w:r>
            <w:r>
              <w:rPr>
                <w:rFonts w:hint="eastAsia" w:ascii="宋体" w:hAnsi="宋体" w:cs="宋体"/>
                <w:color w:val="auto"/>
                <w:kern w:val="0"/>
                <w:sz w:val="21"/>
                <w:szCs w:val="21"/>
                <w:highlight w:val="none"/>
                <w:lang w:val="en-US" w:eastAsia="zh-CN"/>
              </w:rPr>
              <w:t>2</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34</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计算机科学与技术（金融信息服务方向）</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35</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计算机科学与技术（师范）</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36</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计算机科学与技术（专升本）</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82</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37</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健康服务与管理</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38</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教育技术学（师范）</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39</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金融工程</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110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40</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经济学</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120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41</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经济学（专升本）</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42</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科学教育（师范）</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92</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43</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口腔医学</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74</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44</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历史学（历史学+思想政治教育本硕衔接试验班）</w:t>
            </w:r>
          </w:p>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（师范）</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40</w:t>
            </w:r>
          </w:p>
        </w:tc>
        <w:tc>
          <w:tcPr>
            <w:tcW w:w="1684"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45</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历史学（师范）</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80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46</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临床医学</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273</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47</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旅游管理（专升本）</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125</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48</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美术学（师范）</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49</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日语</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70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50</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软件工程</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60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51</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社会工作</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50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52</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社会学</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30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53</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生态学</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35</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54</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生物技术</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80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55</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生物科学（师范）</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240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99.58</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56</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视觉传达设计</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20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57</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书法学</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16</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58</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数据科学与大数据技术</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90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59</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数据科学与大数据技术（第二学位）</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30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60</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数学与应用数学（经亨颐实验班）（师范）</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220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61</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数字媒体艺术</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75</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62</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思想政治教育（师范）</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136</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63</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特殊教育（师范）</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30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64</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体育教育（师范）</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140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65</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统计学</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66</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文化产业管理</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60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67</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武术与民族传统体育（师范）</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30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68</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舞蹈学（师范）</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56</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69</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物理学（复合教育技术学）（师范）</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46</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70</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物理学（师范）</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120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71</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物理学（物理学+教育技术学本硕衔接试验班）</w:t>
            </w:r>
          </w:p>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（师范）</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40</w:t>
            </w:r>
          </w:p>
        </w:tc>
        <w:tc>
          <w:tcPr>
            <w:tcW w:w="1684"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72</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小学教育（师范）</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260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73</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行政管理</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70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74</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休闲体育</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75</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学前教育（师范）</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119</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76</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药学</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150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77</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音乐学（师范）</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80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78</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应用化学</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79</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应用化学（中外合作）</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60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80</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应用心理学</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81</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应用心理学（第二学位）</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20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82</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应用心理学（师范）</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83</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英语</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35</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84</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英语（经亨颐实验班）（师范）</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160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85</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英语（专升本）</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84</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86</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预防医学</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160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nil"/>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87</w:t>
            </w:r>
          </w:p>
        </w:tc>
        <w:tc>
          <w:tcPr>
            <w:tcW w:w="4973"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知识产权</w:t>
            </w:r>
          </w:p>
        </w:tc>
        <w:tc>
          <w:tcPr>
            <w:tcW w:w="750" w:type="dxa"/>
            <w:tcBorders>
              <w:top w:val="nil"/>
              <w:left w:val="nil"/>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40</w:t>
            </w:r>
          </w:p>
        </w:tc>
        <w:tc>
          <w:tcPr>
            <w:tcW w:w="1684" w:type="dxa"/>
            <w:tcBorders>
              <w:top w:val="nil"/>
              <w:left w:val="nil"/>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r>
        <w:tblPrEx>
          <w:tblCellMar>
            <w:top w:w="0" w:type="dxa"/>
            <w:left w:w="108" w:type="dxa"/>
            <w:bottom w:w="0" w:type="dxa"/>
            <w:right w:w="108" w:type="dxa"/>
          </w:tblCellMar>
        </w:tblPrEx>
        <w:trPr>
          <w:trHeight w:val="276" w:hRule="atLeast"/>
        </w:trPr>
        <w:tc>
          <w:tcPr>
            <w:tcW w:w="79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88</w:t>
            </w:r>
          </w:p>
        </w:tc>
        <w:tc>
          <w:tcPr>
            <w:tcW w:w="497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制药工程</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40</w:t>
            </w:r>
          </w:p>
        </w:tc>
        <w:tc>
          <w:tcPr>
            <w:tcW w:w="1684"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spacing w:line="260" w:lineRule="exact"/>
              <w:ind w:firstLine="0" w:firstLineChars="0"/>
              <w:jc w:val="center"/>
              <w:rPr>
                <w:rFonts w:hint="eastAsia" w:ascii="宋体" w:hAnsi="宋体" w:cs="宋体"/>
                <w:color w:val="auto"/>
                <w:kern w:val="0"/>
                <w:sz w:val="21"/>
                <w:szCs w:val="21"/>
                <w:highlight w:val="none"/>
              </w:rPr>
            </w:pPr>
            <w:r>
              <w:rPr>
                <w:rFonts w:hint="default" w:ascii="宋体" w:hAnsi="宋体" w:cs="宋体"/>
                <w:color w:val="auto"/>
                <w:kern w:val="0"/>
                <w:sz w:val="21"/>
                <w:szCs w:val="21"/>
                <w:highlight w:val="none"/>
                <w:lang w:val="en-US" w:eastAsia="zh-CN"/>
              </w:rPr>
              <w:t>100.00</w:t>
            </w:r>
          </w:p>
        </w:tc>
      </w:tr>
    </w:tbl>
    <w:p>
      <w:pPr>
        <w:pStyle w:val="3"/>
        <w:spacing w:before="156" w:after="156"/>
        <w:rPr>
          <w:rFonts w:ascii="宋体" w:hAnsi="宋体" w:eastAsia="宋体" w:cs="宋体"/>
          <w:color w:val="auto"/>
          <w:szCs w:val="21"/>
          <w:highlight w:val="none"/>
        </w:rPr>
      </w:pPr>
      <w:bookmarkStart w:id="362" w:name="_Toc89702849"/>
      <w:bookmarkStart w:id="363" w:name="_Toc28413"/>
      <w:bookmarkStart w:id="364" w:name="_Toc88219361"/>
      <w:bookmarkStart w:id="365" w:name="_Toc18809"/>
      <w:bookmarkStart w:id="366" w:name="_Toc533613943"/>
      <w:bookmarkStart w:id="367" w:name="_Toc11207"/>
      <w:bookmarkStart w:id="368" w:name="_Toc88218610"/>
      <w:r>
        <w:rPr>
          <w:rFonts w:hint="eastAsia" w:ascii="宋体" w:hAnsi="宋体" w:eastAsia="宋体" w:cs="宋体"/>
          <w:color w:val="auto"/>
          <w:szCs w:val="21"/>
          <w:highlight w:val="none"/>
        </w:rPr>
        <w:t>5.生师比</w:t>
      </w:r>
      <w:bookmarkEnd w:id="362"/>
      <w:bookmarkEnd w:id="363"/>
      <w:bookmarkEnd w:id="364"/>
      <w:bookmarkEnd w:id="365"/>
      <w:bookmarkEnd w:id="366"/>
      <w:bookmarkEnd w:id="367"/>
      <w:bookmarkEnd w:id="368"/>
    </w:p>
    <w:p>
      <w:pPr>
        <w:widowControl/>
        <w:spacing w:line="240" w:lineRule="auto"/>
        <w:ind w:firstLine="0" w:firstLineChars="0"/>
        <w:jc w:val="center"/>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5-1全校生师比</w:t>
      </w:r>
    </w:p>
    <w:tbl>
      <w:tblPr>
        <w:tblStyle w:val="18"/>
        <w:tblW w:w="82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52"/>
        <w:gridCol w:w="2745"/>
        <w:gridCol w:w="1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52" w:type="dxa"/>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折合学生</w:t>
            </w:r>
            <w:r>
              <w:rPr>
                <w:rFonts w:hint="eastAsia" w:ascii="宋体" w:hAnsi="宋体" w:cs="宋体"/>
                <w:color w:val="auto"/>
                <w:kern w:val="0"/>
                <w:sz w:val="21"/>
                <w:szCs w:val="21"/>
                <w:highlight w:val="none"/>
              </w:rPr>
              <w:t>数</w:t>
            </w:r>
          </w:p>
        </w:tc>
        <w:tc>
          <w:tcPr>
            <w:tcW w:w="2745" w:type="dxa"/>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折合</w:t>
            </w:r>
            <w:r>
              <w:rPr>
                <w:rFonts w:hint="eastAsia" w:ascii="宋体" w:hAnsi="宋体" w:cs="宋体"/>
                <w:color w:val="auto"/>
                <w:kern w:val="0"/>
                <w:sz w:val="21"/>
                <w:szCs w:val="21"/>
                <w:highlight w:val="none"/>
              </w:rPr>
              <w:t>教师数</w:t>
            </w:r>
          </w:p>
        </w:tc>
        <w:tc>
          <w:tcPr>
            <w:tcW w:w="1757" w:type="dxa"/>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生师比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52" w:type="dxa"/>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36604.5</w:t>
            </w:r>
          </w:p>
        </w:tc>
        <w:tc>
          <w:tcPr>
            <w:tcW w:w="2745" w:type="dxa"/>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2073.5</w:t>
            </w:r>
          </w:p>
        </w:tc>
        <w:tc>
          <w:tcPr>
            <w:tcW w:w="1757" w:type="dxa"/>
            <w:vAlign w:val="center"/>
          </w:tcPr>
          <w:p>
            <w:pPr>
              <w:widowControl/>
              <w:spacing w:line="2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17.65</w:t>
            </w:r>
          </w:p>
        </w:tc>
      </w:tr>
    </w:tbl>
    <w:p>
      <w:pPr>
        <w:ind w:firstLine="0" w:firstLineChars="0"/>
        <w:jc w:val="center"/>
        <w:rPr>
          <w:rFonts w:hint="eastAsia" w:ascii="宋体" w:hAnsi="宋体" w:cs="宋体"/>
          <w:color w:val="auto"/>
          <w:kern w:val="0"/>
          <w:sz w:val="21"/>
          <w:szCs w:val="21"/>
          <w:highlight w:val="none"/>
        </w:rPr>
      </w:pPr>
    </w:p>
    <w:p>
      <w:pPr>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5-2分专业生师比</w:t>
      </w:r>
    </w:p>
    <w:tbl>
      <w:tblPr>
        <w:tblStyle w:val="18"/>
        <w:tblW w:w="8288" w:type="dxa"/>
        <w:tblInd w:w="96" w:type="dxa"/>
        <w:tblLayout w:type="fixed"/>
        <w:tblCellMar>
          <w:top w:w="0" w:type="dxa"/>
          <w:left w:w="108" w:type="dxa"/>
          <w:bottom w:w="0" w:type="dxa"/>
          <w:right w:w="108" w:type="dxa"/>
        </w:tblCellMar>
      </w:tblPr>
      <w:tblGrid>
        <w:gridCol w:w="3248"/>
        <w:gridCol w:w="1536"/>
        <w:gridCol w:w="1751"/>
        <w:gridCol w:w="1753"/>
      </w:tblGrid>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bookmarkStart w:id="369" w:name="_Toc89702850"/>
            <w:bookmarkStart w:id="370" w:name="_Toc31815"/>
            <w:bookmarkStart w:id="371" w:name="_Toc17090"/>
            <w:bookmarkStart w:id="372" w:name="_Toc88219362"/>
            <w:bookmarkStart w:id="373" w:name="_Toc88218611"/>
            <w:bookmarkStart w:id="374" w:name="_Toc533613944"/>
            <w:r>
              <w:rPr>
                <w:rFonts w:hint="eastAsia" w:ascii="宋体" w:hAnsi="宋体" w:cs="宋体"/>
                <w:color w:val="auto"/>
                <w:kern w:val="0"/>
                <w:sz w:val="21"/>
                <w:szCs w:val="21"/>
                <w:highlight w:val="none"/>
                <w:lang w:val="en-US" w:eastAsia="zh-CN"/>
              </w:rPr>
              <w:t>专业名称</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在校生本科生数</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专业教师数</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生师比</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经济学</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620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36.5</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16.99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金融工程</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419</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18</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23.28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法学</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690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37.5</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18.40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知识产权</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12.00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社会学</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7.50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社会工作</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150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13</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11.54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思想政治教育</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494</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29.5</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16.75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科学教育</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284</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25</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11.36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教育技术学</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240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14</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17.14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学前教育</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527</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38.5</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13.69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小学教育</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1109</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66</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16.80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特殊教育</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体育教育</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514</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39</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13.18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武术与民族传统体育</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123</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8.5</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14.47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休闲体育</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150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11.5</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13.04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汉语言文学</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1296</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87</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14.90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英语</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1316</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81.5</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16.15 </w:t>
            </w:r>
          </w:p>
        </w:tc>
      </w:tr>
      <w:tr>
        <w:tblPrEx>
          <w:tblCellMar>
            <w:top w:w="0" w:type="dxa"/>
            <w:left w:w="108" w:type="dxa"/>
            <w:bottom w:w="0" w:type="dxa"/>
            <w:right w:w="108" w:type="dxa"/>
          </w:tblCellMar>
        </w:tblPrEx>
        <w:trPr>
          <w:trHeight w:val="90"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日语</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253</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18</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14.06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朝鲜语</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95</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7.5</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12.67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翻译</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148</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16</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9.25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历史学</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483</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29.5</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16.37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数学与应用数学</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921</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53</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17.38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物理学</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651</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38</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17.13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化学</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733</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54.5</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13.45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应用化学</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349</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29</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12.03</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地理信息科学</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312</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22</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14.18</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生物科学</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839</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62.5</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13.42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生物技术</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256</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25</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10.24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生态学</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91</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15.5</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5.87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应用心理学</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290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29</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统计学</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157</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8.5</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18.47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机械设计制造及其自动化</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173</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28.83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工业设计</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79</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1.5</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52.67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高分子材料与工程</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317</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41</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7.73</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电子信息工程</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131</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18</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7.28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计算机科学与技术</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1370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45</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30.44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软件工程</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259</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23.55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数据科学与大数据技术</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260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26</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10.00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制药工程</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123</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14</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8.79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环境工程</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302</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18</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16.78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基础医学</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5.56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临床医学</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1476</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146.5</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10.08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口腔医学</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320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26.67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预防医学</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561</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35</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16.03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药学</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476</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52</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9.15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护理学</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830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47</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17.66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大数据管理与应用</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191</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38.20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市场营销</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117</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13.00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会计学</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40.00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国际商务</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260</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14</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18.57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文化产业管理</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222</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16.5</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13.45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公共事业管理</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234</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14</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16.71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行政管理</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167</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15</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11.13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健康服务与管理</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151</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15.5</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9.74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电子商务</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597</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25</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23.88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旅游管理</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392</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16.5</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23.76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会展经济与管理</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41</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13.67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音乐学</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281</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32</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8.78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舞蹈学</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147</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29.40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广播电视编导</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105</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2.5</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42.00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播音与主持艺术</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104</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2.5</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41.60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动画</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291</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16.5</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17.64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美术学</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221</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30</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7.37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绘画</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183</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17.5</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10.46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书法学</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53</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8.83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视觉传达设计</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183</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16.64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环境设计</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157</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17.44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公共艺术</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191</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17</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11.24 </w:t>
            </w:r>
          </w:p>
        </w:tc>
      </w:tr>
      <w:tr>
        <w:tblPrEx>
          <w:tblCellMar>
            <w:top w:w="0" w:type="dxa"/>
            <w:left w:w="108" w:type="dxa"/>
            <w:bottom w:w="0" w:type="dxa"/>
            <w:right w:w="108" w:type="dxa"/>
          </w:tblCellMar>
        </w:tblPrEx>
        <w:trPr>
          <w:trHeight w:val="278"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数字媒体艺术</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331</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23.5</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14.09 </w:t>
            </w:r>
          </w:p>
        </w:tc>
      </w:tr>
      <w:tr>
        <w:tblPrEx>
          <w:tblCellMar>
            <w:top w:w="0" w:type="dxa"/>
            <w:left w:w="108" w:type="dxa"/>
            <w:bottom w:w="0" w:type="dxa"/>
            <w:right w:w="108" w:type="dxa"/>
          </w:tblCellMar>
        </w:tblPrEx>
        <w:trPr>
          <w:trHeight w:val="610" w:hRule="atLeast"/>
        </w:trPr>
        <w:tc>
          <w:tcPr>
            <w:tcW w:w="3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无具体任教专业教师（思政、公共体育等通识教育必修课教师）</w:t>
            </w:r>
          </w:p>
        </w:tc>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221</w:t>
            </w:r>
          </w:p>
        </w:tc>
        <w:tc>
          <w:tcPr>
            <w:tcW w:w="1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60" w:lineRule="exact"/>
              <w:ind w:firstLine="0" w:firstLineChars="0"/>
              <w:jc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w:t>
            </w:r>
          </w:p>
        </w:tc>
      </w:tr>
      <w:bookmarkEnd w:id="369"/>
      <w:bookmarkEnd w:id="370"/>
      <w:bookmarkEnd w:id="371"/>
      <w:bookmarkEnd w:id="372"/>
      <w:bookmarkEnd w:id="373"/>
      <w:bookmarkEnd w:id="374"/>
    </w:tbl>
    <w:p>
      <w:pPr>
        <w:pStyle w:val="3"/>
        <w:spacing w:before="156" w:after="156"/>
        <w:rPr>
          <w:rFonts w:ascii="宋体" w:hAnsi="宋体" w:eastAsia="宋体" w:cs="宋体"/>
          <w:color w:val="auto"/>
          <w:szCs w:val="21"/>
          <w:highlight w:val="none"/>
        </w:rPr>
      </w:pPr>
      <w:bookmarkStart w:id="375" w:name="_Toc16077"/>
      <w:bookmarkStart w:id="376" w:name="_Toc88219371"/>
      <w:bookmarkStart w:id="377" w:name="_Toc1734"/>
      <w:bookmarkStart w:id="378" w:name="_Toc29326"/>
      <w:bookmarkStart w:id="379" w:name="_Toc89702859"/>
      <w:r>
        <w:rPr>
          <w:rFonts w:hint="eastAsia" w:ascii="宋体" w:hAnsi="宋体" w:eastAsia="宋体" w:cs="宋体"/>
          <w:color w:val="auto"/>
          <w:szCs w:val="21"/>
          <w:highlight w:val="none"/>
        </w:rPr>
        <w:t>6.</w:t>
      </w:r>
      <w:r>
        <w:rPr>
          <w:rFonts w:hint="eastAsia" w:ascii="宋体" w:hAnsi="宋体" w:eastAsia="宋体" w:cs="宋体"/>
          <w:color w:val="auto"/>
          <w:kern w:val="2"/>
          <w:szCs w:val="21"/>
          <w:highlight w:val="none"/>
        </w:rPr>
        <w:t>生均教学科研仪器设备值</w:t>
      </w:r>
      <w:bookmarkEnd w:id="375"/>
    </w:p>
    <w:tbl>
      <w:tblPr>
        <w:tblStyle w:val="18"/>
        <w:tblW w:w="4843" w:type="pct"/>
        <w:tblInd w:w="1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18"/>
        <w:gridCol w:w="3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rPr>
        <w:tc>
          <w:tcPr>
            <w:tcW w:w="2615"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教学科研仪器设备总值（万元）</w:t>
            </w:r>
          </w:p>
        </w:tc>
        <w:tc>
          <w:tcPr>
            <w:tcW w:w="2384"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108881.73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rPr>
        <w:tc>
          <w:tcPr>
            <w:tcW w:w="2615"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折合在校生数</w:t>
            </w:r>
          </w:p>
        </w:tc>
        <w:tc>
          <w:tcPr>
            <w:tcW w:w="2384"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36604.5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rPr>
        <w:tc>
          <w:tcPr>
            <w:tcW w:w="2615"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生均教学科研仪器设备值（万元）</w:t>
            </w:r>
          </w:p>
        </w:tc>
        <w:tc>
          <w:tcPr>
            <w:tcW w:w="2384"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2.97</w:t>
            </w:r>
          </w:p>
        </w:tc>
      </w:tr>
    </w:tbl>
    <w:p>
      <w:pPr>
        <w:pStyle w:val="3"/>
        <w:spacing w:before="156" w:after="156"/>
        <w:rPr>
          <w:rFonts w:ascii="宋体" w:hAnsi="宋体" w:eastAsia="宋体" w:cs="宋体"/>
          <w:color w:val="auto"/>
          <w:szCs w:val="21"/>
          <w:highlight w:val="none"/>
        </w:rPr>
      </w:pPr>
      <w:bookmarkStart w:id="380" w:name="_Toc89702851"/>
      <w:bookmarkStart w:id="381" w:name="_Toc88219363"/>
      <w:bookmarkStart w:id="382" w:name="_Toc88218612"/>
      <w:bookmarkStart w:id="383" w:name="_Toc22631"/>
      <w:bookmarkStart w:id="384" w:name="_Toc533613945"/>
      <w:bookmarkStart w:id="385" w:name="_Toc11433"/>
      <w:bookmarkStart w:id="386" w:name="_Toc11590"/>
      <w:r>
        <w:rPr>
          <w:rFonts w:hint="eastAsia" w:ascii="宋体" w:hAnsi="宋体" w:eastAsia="宋体" w:cs="宋体"/>
          <w:color w:val="auto"/>
          <w:szCs w:val="21"/>
          <w:highlight w:val="none"/>
        </w:rPr>
        <w:t>7</w:t>
      </w:r>
      <w:r>
        <w:rPr>
          <w:rFonts w:hint="eastAsia" w:ascii="宋体" w:hAnsi="宋体" w:eastAsia="宋体" w:cs="宋体"/>
          <w:color w:val="auto"/>
          <w:kern w:val="2"/>
          <w:szCs w:val="21"/>
          <w:highlight w:val="none"/>
        </w:rPr>
        <w:t>.当年新增教学科研仪器设备值</w:t>
      </w:r>
      <w:bookmarkEnd w:id="380"/>
      <w:bookmarkEnd w:id="381"/>
      <w:bookmarkEnd w:id="382"/>
      <w:bookmarkEnd w:id="383"/>
      <w:bookmarkEnd w:id="384"/>
      <w:bookmarkEnd w:id="385"/>
      <w:bookmarkEnd w:id="386"/>
    </w:p>
    <w:tbl>
      <w:tblPr>
        <w:tblStyle w:val="18"/>
        <w:tblW w:w="4836"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10"/>
        <w:gridCol w:w="3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rPr>
        <w:tc>
          <w:tcPr>
            <w:tcW w:w="2614"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仪器设备值</w:t>
            </w:r>
          </w:p>
        </w:tc>
        <w:tc>
          <w:tcPr>
            <w:tcW w:w="2385"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总值（万元）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rPr>
        <w:tc>
          <w:tcPr>
            <w:tcW w:w="2614"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校固定资产总值</w:t>
            </w:r>
          </w:p>
        </w:tc>
        <w:tc>
          <w:tcPr>
            <w:tcW w:w="2385"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1046451.66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rPr>
        <w:tc>
          <w:tcPr>
            <w:tcW w:w="2614"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教学科研仪器设备总值</w:t>
            </w:r>
          </w:p>
        </w:tc>
        <w:tc>
          <w:tcPr>
            <w:tcW w:w="2385" w:type="pct"/>
            <w:vAlign w:val="center"/>
          </w:tcPr>
          <w:p>
            <w:pPr>
              <w:widowControl/>
              <w:spacing w:line="360" w:lineRule="exact"/>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rPr>
              <w:t>10</w:t>
            </w:r>
            <w:r>
              <w:rPr>
                <w:rFonts w:hint="eastAsia" w:ascii="宋体" w:hAnsi="宋体" w:cs="宋体"/>
                <w:color w:val="auto"/>
                <w:kern w:val="0"/>
                <w:sz w:val="21"/>
                <w:szCs w:val="21"/>
                <w:highlight w:val="none"/>
                <w:lang w:val="en-US" w:eastAsia="zh-CN"/>
              </w:rPr>
              <w:t>8881.73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trPr>
        <w:tc>
          <w:tcPr>
            <w:tcW w:w="2614"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当年新增教学科研仪器设备值</w:t>
            </w:r>
          </w:p>
        </w:tc>
        <w:tc>
          <w:tcPr>
            <w:tcW w:w="2385" w:type="pct"/>
            <w:vAlign w:val="center"/>
          </w:tcPr>
          <w:p>
            <w:pPr>
              <w:widowControl/>
              <w:spacing w:line="360" w:lineRule="exact"/>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6048.8</w:t>
            </w:r>
          </w:p>
        </w:tc>
      </w:tr>
    </w:tbl>
    <w:p>
      <w:pPr>
        <w:pStyle w:val="3"/>
        <w:spacing w:before="156" w:after="156"/>
        <w:rPr>
          <w:rFonts w:ascii="宋体" w:hAnsi="宋体" w:eastAsia="宋体" w:cs="宋体"/>
          <w:color w:val="auto"/>
          <w:szCs w:val="21"/>
          <w:highlight w:val="none"/>
        </w:rPr>
      </w:pPr>
      <w:bookmarkStart w:id="387" w:name="_Toc14972"/>
      <w:bookmarkStart w:id="388" w:name="_Toc13564"/>
      <w:bookmarkStart w:id="389" w:name="_Toc88219364"/>
      <w:bookmarkStart w:id="390" w:name="_Toc533613946"/>
      <w:bookmarkStart w:id="391" w:name="_Toc26187"/>
      <w:bookmarkStart w:id="392" w:name="_Toc89702852"/>
      <w:bookmarkStart w:id="393" w:name="_Toc88218613"/>
      <w:bookmarkStart w:id="394" w:name="_Toc533613948"/>
      <w:r>
        <w:rPr>
          <w:rFonts w:hint="eastAsia" w:ascii="宋体" w:hAnsi="宋体" w:eastAsia="宋体" w:cs="宋体"/>
          <w:color w:val="auto"/>
          <w:szCs w:val="21"/>
          <w:highlight w:val="none"/>
        </w:rPr>
        <w:t>8.生均图书</w:t>
      </w:r>
      <w:bookmarkEnd w:id="387"/>
      <w:bookmarkEnd w:id="388"/>
      <w:bookmarkEnd w:id="389"/>
      <w:bookmarkEnd w:id="390"/>
      <w:bookmarkEnd w:id="391"/>
      <w:bookmarkEnd w:id="392"/>
      <w:bookmarkEnd w:id="393"/>
    </w:p>
    <w:tbl>
      <w:tblPr>
        <w:tblStyle w:val="18"/>
        <w:tblW w:w="483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3"/>
        <w:gridCol w:w="3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665"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纸质图书</w:t>
            </w:r>
          </w:p>
        </w:tc>
        <w:tc>
          <w:tcPr>
            <w:tcW w:w="2334"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数量（册）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665"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总量</w:t>
            </w:r>
          </w:p>
        </w:tc>
        <w:tc>
          <w:tcPr>
            <w:tcW w:w="2334"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sz w:val="21"/>
                <w:szCs w:val="21"/>
                <w:highlight w:val="none"/>
              </w:rPr>
              <w:t>5476718.3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665"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当年新增</w:t>
            </w:r>
          </w:p>
        </w:tc>
        <w:tc>
          <w:tcPr>
            <w:tcW w:w="2334"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sz w:val="21"/>
                <w:szCs w:val="21"/>
                <w:highlight w:val="none"/>
              </w:rPr>
              <w:t>104031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665"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生均图书（册/生）</w:t>
            </w:r>
          </w:p>
        </w:tc>
        <w:tc>
          <w:tcPr>
            <w:tcW w:w="2334"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149.62</w:t>
            </w:r>
          </w:p>
        </w:tc>
      </w:tr>
    </w:tbl>
    <w:p>
      <w:pPr>
        <w:pStyle w:val="3"/>
        <w:spacing w:before="156" w:after="156"/>
        <w:rPr>
          <w:rFonts w:ascii="宋体" w:hAnsi="宋体" w:eastAsia="宋体" w:cs="宋体"/>
          <w:color w:val="auto"/>
          <w:szCs w:val="21"/>
          <w:highlight w:val="none"/>
        </w:rPr>
      </w:pPr>
      <w:bookmarkStart w:id="395" w:name="_Toc533613947"/>
      <w:bookmarkStart w:id="396" w:name="_Toc31929"/>
      <w:bookmarkStart w:id="397" w:name="_Toc89702853"/>
      <w:bookmarkStart w:id="398" w:name="_Toc88219365"/>
      <w:bookmarkStart w:id="399" w:name="_Toc27018"/>
      <w:bookmarkStart w:id="400" w:name="_Toc13307"/>
      <w:bookmarkStart w:id="401" w:name="_Toc88218614"/>
      <w:r>
        <w:rPr>
          <w:rFonts w:hint="eastAsia" w:ascii="宋体" w:hAnsi="宋体" w:eastAsia="宋体" w:cs="宋体"/>
          <w:color w:val="auto"/>
          <w:szCs w:val="21"/>
          <w:highlight w:val="none"/>
        </w:rPr>
        <w:t>9.电子图书、电子期刊种数</w:t>
      </w:r>
      <w:bookmarkEnd w:id="395"/>
      <w:bookmarkEnd w:id="396"/>
      <w:bookmarkEnd w:id="397"/>
      <w:bookmarkEnd w:id="398"/>
      <w:bookmarkEnd w:id="399"/>
      <w:bookmarkEnd w:id="400"/>
      <w:bookmarkEnd w:id="401"/>
    </w:p>
    <w:tbl>
      <w:tblPr>
        <w:tblStyle w:val="18"/>
        <w:tblW w:w="48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34"/>
        <w:gridCol w:w="4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2379" w:type="pct"/>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电子图书</w:t>
            </w:r>
          </w:p>
        </w:tc>
        <w:tc>
          <w:tcPr>
            <w:tcW w:w="2620" w:type="pct"/>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3784275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2379" w:type="pct"/>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电子期刊种数</w:t>
            </w:r>
          </w:p>
        </w:tc>
        <w:tc>
          <w:tcPr>
            <w:tcW w:w="2620" w:type="pct"/>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sz w:val="21"/>
                <w:szCs w:val="21"/>
                <w:highlight w:val="none"/>
              </w:rPr>
              <w:t>2500018</w:t>
            </w:r>
          </w:p>
        </w:tc>
      </w:tr>
    </w:tbl>
    <w:p>
      <w:pPr>
        <w:pStyle w:val="3"/>
        <w:spacing w:before="156" w:after="156"/>
        <w:rPr>
          <w:rFonts w:ascii="宋体" w:hAnsi="宋体" w:eastAsia="宋体" w:cs="宋体"/>
          <w:color w:val="auto"/>
          <w:szCs w:val="21"/>
          <w:highlight w:val="none"/>
        </w:rPr>
      </w:pPr>
      <w:bookmarkStart w:id="402" w:name="_Toc1539"/>
      <w:bookmarkStart w:id="403" w:name="_Toc88218615"/>
      <w:bookmarkStart w:id="404" w:name="_Toc29291"/>
      <w:bookmarkStart w:id="405" w:name="_Toc13162"/>
      <w:bookmarkStart w:id="406" w:name="_Toc89702854"/>
      <w:bookmarkStart w:id="407" w:name="_Toc88219366"/>
      <w:r>
        <w:rPr>
          <w:rFonts w:hint="eastAsia" w:ascii="宋体" w:hAnsi="宋体" w:eastAsia="宋体" w:cs="宋体"/>
          <w:color w:val="auto"/>
          <w:szCs w:val="21"/>
          <w:highlight w:val="none"/>
        </w:rPr>
        <w:t>10.生均教学行政用房（其中生均实验室面积）</w:t>
      </w:r>
      <w:bookmarkEnd w:id="394"/>
      <w:bookmarkEnd w:id="402"/>
      <w:bookmarkEnd w:id="403"/>
      <w:bookmarkEnd w:id="404"/>
      <w:bookmarkEnd w:id="405"/>
      <w:bookmarkEnd w:id="406"/>
      <w:bookmarkEnd w:id="407"/>
    </w:p>
    <w:tbl>
      <w:tblPr>
        <w:tblStyle w:val="18"/>
        <w:tblW w:w="4850" w:type="pct"/>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65"/>
        <w:gridCol w:w="3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2" w:type="pct"/>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教学资源</w:t>
            </w:r>
          </w:p>
        </w:tc>
        <w:tc>
          <w:tcPr>
            <w:tcW w:w="2178" w:type="pct"/>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2" w:type="pct"/>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总建筑面积（万平方米）</w:t>
            </w:r>
          </w:p>
        </w:tc>
        <w:tc>
          <w:tcPr>
            <w:tcW w:w="2178" w:type="pct"/>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171.17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2" w:type="pct"/>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教学科研及行政用房面积（万平方米）</w:t>
            </w:r>
          </w:p>
        </w:tc>
        <w:tc>
          <w:tcPr>
            <w:tcW w:w="2178" w:type="pct"/>
          </w:tcPr>
          <w:p>
            <w:pPr>
              <w:widowControl/>
              <w:spacing w:line="360" w:lineRule="exact"/>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sz w:val="21"/>
                <w:szCs w:val="21"/>
                <w:highlight w:val="none"/>
              </w:rPr>
              <w:t>8</w:t>
            </w:r>
            <w:r>
              <w:rPr>
                <w:rFonts w:hint="eastAsia" w:ascii="宋体" w:hAnsi="宋体" w:cs="宋体"/>
                <w:color w:val="auto"/>
                <w:sz w:val="21"/>
                <w:szCs w:val="21"/>
                <w:highlight w:val="none"/>
                <w:lang w:val="en-US" w:eastAsia="zh-CN"/>
              </w:rPr>
              <w:t>8.42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2" w:type="pct"/>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生均教学行政用房（平方米/生）</w:t>
            </w:r>
          </w:p>
        </w:tc>
        <w:tc>
          <w:tcPr>
            <w:tcW w:w="2178" w:type="pct"/>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sz w:val="21"/>
                <w:szCs w:val="21"/>
                <w:highlight w:val="none"/>
              </w:rPr>
              <w:t>27.99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2" w:type="pct"/>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（其中生均实验室面积）（平方米/生）</w:t>
            </w:r>
          </w:p>
        </w:tc>
        <w:tc>
          <w:tcPr>
            <w:tcW w:w="2178" w:type="pct"/>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sz w:val="21"/>
                <w:szCs w:val="21"/>
                <w:highlight w:val="none"/>
              </w:rPr>
              <w:t>2.55</w:t>
            </w:r>
          </w:p>
        </w:tc>
      </w:tr>
    </w:tbl>
    <w:p>
      <w:pPr>
        <w:pStyle w:val="3"/>
        <w:spacing w:before="156" w:after="156"/>
        <w:rPr>
          <w:rFonts w:ascii="宋体" w:hAnsi="宋体" w:eastAsia="宋体" w:cs="宋体"/>
          <w:color w:val="auto"/>
          <w:szCs w:val="21"/>
          <w:highlight w:val="none"/>
        </w:rPr>
      </w:pPr>
      <w:bookmarkStart w:id="408" w:name="_Toc88219367"/>
      <w:bookmarkStart w:id="409" w:name="_Toc7692"/>
      <w:bookmarkStart w:id="410" w:name="_Toc9755"/>
      <w:bookmarkStart w:id="411" w:name="_Toc88218616"/>
      <w:bookmarkStart w:id="412" w:name="_Toc89702855"/>
      <w:bookmarkStart w:id="413" w:name="_Toc533613949"/>
      <w:bookmarkStart w:id="414" w:name="_Toc5082"/>
      <w:bookmarkStart w:id="415" w:name="_Toc533613953"/>
      <w:r>
        <w:rPr>
          <w:rFonts w:hint="eastAsia" w:ascii="宋体" w:hAnsi="宋体" w:eastAsia="宋体" w:cs="宋体"/>
          <w:color w:val="auto"/>
          <w:szCs w:val="21"/>
          <w:highlight w:val="none"/>
        </w:rPr>
        <w:t>11.生均本科教学日常运行支出</w:t>
      </w:r>
      <w:bookmarkEnd w:id="408"/>
      <w:bookmarkEnd w:id="409"/>
      <w:bookmarkEnd w:id="410"/>
      <w:bookmarkEnd w:id="411"/>
      <w:bookmarkEnd w:id="412"/>
      <w:bookmarkEnd w:id="413"/>
      <w:bookmarkEnd w:id="414"/>
    </w:p>
    <w:tbl>
      <w:tblPr>
        <w:tblStyle w:val="18"/>
        <w:tblW w:w="485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2846"/>
        <w:gridCol w:w="2664"/>
        <w:gridCol w:w="2756"/>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exact"/>
          <w:jc w:val="center"/>
        </w:trPr>
        <w:tc>
          <w:tcPr>
            <w:tcW w:w="1721"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类别</w:t>
            </w:r>
          </w:p>
        </w:tc>
        <w:tc>
          <w:tcPr>
            <w:tcW w:w="1611"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支出总额（万元）</w:t>
            </w:r>
          </w:p>
        </w:tc>
        <w:tc>
          <w:tcPr>
            <w:tcW w:w="1666"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生均（元）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exact"/>
          <w:jc w:val="center"/>
        </w:trPr>
        <w:tc>
          <w:tcPr>
            <w:tcW w:w="1721"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本科教学日常经费</w:t>
            </w:r>
          </w:p>
        </w:tc>
        <w:tc>
          <w:tcPr>
            <w:tcW w:w="1611"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9617.68</w:t>
            </w:r>
          </w:p>
        </w:tc>
        <w:tc>
          <w:tcPr>
            <w:tcW w:w="1666"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sz w:val="21"/>
                <w:szCs w:val="21"/>
                <w:highlight w:val="none"/>
              </w:rPr>
              <w:t>2627.46</w:t>
            </w:r>
          </w:p>
        </w:tc>
      </w:tr>
    </w:tbl>
    <w:p>
      <w:pPr>
        <w:pStyle w:val="3"/>
        <w:spacing w:before="156" w:after="156"/>
        <w:rPr>
          <w:rFonts w:ascii="宋体" w:hAnsi="宋体" w:eastAsia="宋体" w:cs="宋体"/>
          <w:color w:val="auto"/>
          <w:szCs w:val="21"/>
          <w:highlight w:val="none"/>
        </w:rPr>
      </w:pPr>
      <w:bookmarkStart w:id="416" w:name="_Toc533613950"/>
      <w:bookmarkStart w:id="417" w:name="_Toc88219368"/>
      <w:bookmarkStart w:id="418" w:name="_Toc89702856"/>
      <w:bookmarkStart w:id="419" w:name="_Toc16582"/>
      <w:bookmarkStart w:id="420" w:name="_Toc15277"/>
      <w:bookmarkStart w:id="421" w:name="_Toc88218617"/>
      <w:bookmarkStart w:id="422" w:name="_Toc31231"/>
      <w:r>
        <w:rPr>
          <w:rFonts w:hint="eastAsia" w:ascii="宋体" w:hAnsi="宋体" w:eastAsia="宋体" w:cs="宋体"/>
          <w:color w:val="auto"/>
          <w:szCs w:val="21"/>
          <w:highlight w:val="none"/>
        </w:rPr>
        <w:t>12.本科专项教学经费</w:t>
      </w:r>
      <w:bookmarkEnd w:id="416"/>
      <w:r>
        <w:rPr>
          <w:rFonts w:hint="eastAsia" w:ascii="宋体" w:hAnsi="宋体" w:eastAsia="宋体" w:cs="宋体"/>
          <w:color w:val="auto"/>
          <w:szCs w:val="21"/>
          <w:highlight w:val="none"/>
        </w:rPr>
        <w:t>（自然年度内学校立项用于本科教学改革与建设的专项经费总额）</w:t>
      </w:r>
      <w:bookmarkEnd w:id="417"/>
      <w:bookmarkEnd w:id="418"/>
      <w:bookmarkEnd w:id="419"/>
      <w:bookmarkEnd w:id="420"/>
      <w:bookmarkEnd w:id="421"/>
      <w:bookmarkEnd w:id="422"/>
    </w:p>
    <w:tbl>
      <w:tblPr>
        <w:tblStyle w:val="18"/>
        <w:tblW w:w="485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2864"/>
        <w:gridCol w:w="2654"/>
        <w:gridCol w:w="274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exact"/>
          <w:jc w:val="center"/>
        </w:trPr>
        <w:tc>
          <w:tcPr>
            <w:tcW w:w="1732"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类别</w:t>
            </w:r>
          </w:p>
        </w:tc>
        <w:tc>
          <w:tcPr>
            <w:tcW w:w="1605"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支出总额（万元）</w:t>
            </w:r>
          </w:p>
        </w:tc>
        <w:tc>
          <w:tcPr>
            <w:tcW w:w="1661"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生均（元）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exact"/>
          <w:jc w:val="center"/>
        </w:trPr>
        <w:tc>
          <w:tcPr>
            <w:tcW w:w="1732"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本科专项教学经费</w:t>
            </w:r>
          </w:p>
        </w:tc>
        <w:tc>
          <w:tcPr>
            <w:tcW w:w="1605" w:type="pct"/>
            <w:vAlign w:val="center"/>
          </w:tcPr>
          <w:p>
            <w:pPr>
              <w:widowControl/>
              <w:spacing w:line="360" w:lineRule="exact"/>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5124.09</w:t>
            </w:r>
          </w:p>
        </w:tc>
        <w:tc>
          <w:tcPr>
            <w:tcW w:w="1661" w:type="pct"/>
            <w:vAlign w:val="center"/>
          </w:tcPr>
          <w:p>
            <w:pPr>
              <w:widowControl/>
              <w:spacing w:line="360" w:lineRule="exact"/>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2030.22</w:t>
            </w:r>
          </w:p>
        </w:tc>
      </w:tr>
    </w:tbl>
    <w:p>
      <w:pPr>
        <w:pStyle w:val="3"/>
        <w:spacing w:before="156" w:after="156"/>
        <w:rPr>
          <w:rFonts w:ascii="宋体" w:hAnsi="宋体" w:eastAsia="宋体" w:cs="宋体"/>
          <w:color w:val="auto"/>
          <w:szCs w:val="21"/>
          <w:highlight w:val="none"/>
        </w:rPr>
      </w:pPr>
      <w:bookmarkStart w:id="423" w:name="_Toc533613951"/>
      <w:bookmarkStart w:id="424" w:name="_Toc30217"/>
      <w:bookmarkStart w:id="425" w:name="_Toc89702857"/>
      <w:bookmarkStart w:id="426" w:name="_Toc88219369"/>
      <w:bookmarkStart w:id="427" w:name="_Toc23607"/>
      <w:bookmarkStart w:id="428" w:name="_Toc88218618"/>
      <w:bookmarkStart w:id="429" w:name="_Toc20143"/>
      <w:r>
        <w:rPr>
          <w:rFonts w:hint="eastAsia" w:ascii="宋体" w:hAnsi="宋体" w:eastAsia="宋体" w:cs="宋体"/>
          <w:color w:val="auto"/>
          <w:szCs w:val="21"/>
          <w:highlight w:val="none"/>
        </w:rPr>
        <w:t>13.生均本科实验经费</w:t>
      </w:r>
      <w:bookmarkEnd w:id="423"/>
      <w:bookmarkEnd w:id="424"/>
      <w:bookmarkEnd w:id="425"/>
      <w:bookmarkEnd w:id="426"/>
      <w:bookmarkEnd w:id="427"/>
      <w:bookmarkEnd w:id="428"/>
      <w:bookmarkEnd w:id="429"/>
    </w:p>
    <w:tbl>
      <w:tblPr>
        <w:tblStyle w:val="18"/>
        <w:tblW w:w="4867"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2967"/>
        <w:gridCol w:w="2582"/>
        <w:gridCol w:w="2746"/>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exact"/>
          <w:jc w:val="center"/>
        </w:trPr>
        <w:tc>
          <w:tcPr>
            <w:tcW w:w="1788"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类别</w:t>
            </w:r>
          </w:p>
        </w:tc>
        <w:tc>
          <w:tcPr>
            <w:tcW w:w="1556"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支出总额（万元）</w:t>
            </w:r>
          </w:p>
        </w:tc>
        <w:tc>
          <w:tcPr>
            <w:tcW w:w="1654"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生均（元）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exact"/>
          <w:jc w:val="center"/>
        </w:trPr>
        <w:tc>
          <w:tcPr>
            <w:tcW w:w="1788"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本科实验经费</w:t>
            </w:r>
          </w:p>
        </w:tc>
        <w:tc>
          <w:tcPr>
            <w:tcW w:w="1556"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sz w:val="21"/>
                <w:szCs w:val="21"/>
                <w:highlight w:val="none"/>
              </w:rPr>
              <w:t>1339.29</w:t>
            </w:r>
          </w:p>
        </w:tc>
        <w:tc>
          <w:tcPr>
            <w:tcW w:w="1654"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sz w:val="21"/>
                <w:szCs w:val="21"/>
                <w:highlight w:val="none"/>
              </w:rPr>
              <w:t>530.64</w:t>
            </w:r>
          </w:p>
        </w:tc>
      </w:tr>
    </w:tbl>
    <w:p>
      <w:pPr>
        <w:pStyle w:val="3"/>
        <w:spacing w:before="156" w:after="156"/>
        <w:rPr>
          <w:rFonts w:ascii="宋体" w:hAnsi="宋体" w:eastAsia="宋体" w:cs="宋体"/>
          <w:color w:val="auto"/>
          <w:szCs w:val="21"/>
          <w:highlight w:val="none"/>
        </w:rPr>
      </w:pPr>
      <w:bookmarkStart w:id="430" w:name="_Toc533613952"/>
      <w:bookmarkStart w:id="431" w:name="_Toc88219370"/>
      <w:bookmarkStart w:id="432" w:name="_Toc88218619"/>
      <w:bookmarkStart w:id="433" w:name="_Toc4889"/>
      <w:bookmarkStart w:id="434" w:name="_Toc89702858"/>
      <w:bookmarkStart w:id="435" w:name="_Toc6214"/>
      <w:bookmarkStart w:id="436" w:name="_Toc22776"/>
      <w:r>
        <w:rPr>
          <w:rFonts w:hint="eastAsia" w:ascii="宋体" w:hAnsi="宋体" w:eastAsia="宋体" w:cs="宋体"/>
          <w:color w:val="auto"/>
          <w:szCs w:val="21"/>
          <w:highlight w:val="none"/>
        </w:rPr>
        <w:t>14.生均本科实习经费</w:t>
      </w:r>
      <w:bookmarkEnd w:id="430"/>
      <w:bookmarkEnd w:id="431"/>
      <w:bookmarkEnd w:id="432"/>
      <w:bookmarkEnd w:id="433"/>
      <w:bookmarkEnd w:id="434"/>
      <w:bookmarkEnd w:id="435"/>
      <w:bookmarkEnd w:id="436"/>
    </w:p>
    <w:tbl>
      <w:tblPr>
        <w:tblStyle w:val="18"/>
        <w:tblW w:w="485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2930"/>
        <w:gridCol w:w="2652"/>
        <w:gridCol w:w="268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exact"/>
          <w:jc w:val="center"/>
        </w:trPr>
        <w:tc>
          <w:tcPr>
            <w:tcW w:w="1772"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类别</w:t>
            </w:r>
          </w:p>
        </w:tc>
        <w:tc>
          <w:tcPr>
            <w:tcW w:w="1604"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支出总额（万元）</w:t>
            </w:r>
          </w:p>
        </w:tc>
        <w:tc>
          <w:tcPr>
            <w:tcW w:w="1623"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生均（元）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exact"/>
          <w:jc w:val="center"/>
        </w:trPr>
        <w:tc>
          <w:tcPr>
            <w:tcW w:w="1772"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本科实习经费</w:t>
            </w:r>
          </w:p>
        </w:tc>
        <w:tc>
          <w:tcPr>
            <w:tcW w:w="1604"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sz w:val="21"/>
                <w:szCs w:val="21"/>
                <w:highlight w:val="none"/>
              </w:rPr>
              <w:t>1235.65</w:t>
            </w:r>
          </w:p>
        </w:tc>
        <w:tc>
          <w:tcPr>
            <w:tcW w:w="1623"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sz w:val="21"/>
                <w:szCs w:val="21"/>
                <w:highlight w:val="none"/>
              </w:rPr>
              <w:t>489.58</w:t>
            </w:r>
          </w:p>
        </w:tc>
      </w:tr>
      <w:bookmarkEnd w:id="415"/>
    </w:tbl>
    <w:p>
      <w:pPr>
        <w:pStyle w:val="3"/>
        <w:spacing w:before="156" w:after="156"/>
        <w:rPr>
          <w:rFonts w:hint="eastAsia" w:ascii="宋体" w:hAnsi="宋体" w:eastAsia="宋体" w:cs="宋体"/>
          <w:color w:val="auto"/>
          <w:szCs w:val="21"/>
          <w:highlight w:val="none"/>
        </w:rPr>
      </w:pPr>
    </w:p>
    <w:p>
      <w:pPr>
        <w:pStyle w:val="3"/>
        <w:spacing w:before="156" w:after="156"/>
        <w:rPr>
          <w:rFonts w:ascii="宋体" w:hAnsi="宋体" w:eastAsia="宋体" w:cs="宋体"/>
          <w:color w:val="auto"/>
          <w:szCs w:val="21"/>
          <w:highlight w:val="none"/>
        </w:rPr>
      </w:pPr>
      <w:bookmarkStart w:id="437" w:name="_Toc6977"/>
      <w:r>
        <w:rPr>
          <w:rFonts w:hint="eastAsia" w:ascii="宋体" w:hAnsi="宋体" w:eastAsia="宋体" w:cs="宋体"/>
          <w:color w:val="auto"/>
          <w:szCs w:val="21"/>
          <w:highlight w:val="none"/>
        </w:rPr>
        <w:t>15.学校开设本科生课程总门次数情况（不含实践环节）</w:t>
      </w:r>
      <w:bookmarkEnd w:id="376"/>
      <w:bookmarkEnd w:id="377"/>
      <w:bookmarkEnd w:id="378"/>
      <w:bookmarkEnd w:id="379"/>
      <w:bookmarkEnd w:id="437"/>
    </w:p>
    <w:tbl>
      <w:tblPr>
        <w:tblStyle w:val="18"/>
        <w:tblW w:w="48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64"/>
        <w:gridCol w:w="4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064" w:type="dxa"/>
            <w:vAlign w:val="center"/>
          </w:tcPr>
          <w:p>
            <w:pPr>
              <w:widowControl/>
              <w:ind w:firstLine="420"/>
              <w:jc w:val="center"/>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学期</w:t>
            </w:r>
          </w:p>
        </w:tc>
        <w:tc>
          <w:tcPr>
            <w:tcW w:w="4202" w:type="dxa"/>
            <w:vAlign w:val="center"/>
          </w:tcPr>
          <w:p>
            <w:pPr>
              <w:widowControl/>
              <w:ind w:firstLine="420"/>
              <w:jc w:val="center"/>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门数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064" w:type="dxa"/>
            <w:vAlign w:val="center"/>
          </w:tcPr>
          <w:p>
            <w:pPr>
              <w:keepNext w:val="0"/>
              <w:keepLines w:val="0"/>
              <w:widowControl/>
              <w:suppressLineNumbers w:val="0"/>
              <w:ind w:firstLine="420" w:firstLineChars="200"/>
              <w:jc w:val="center"/>
              <w:textAlignment w:val="center"/>
              <w:rPr>
                <w:rFonts w:ascii="宋体" w:hAnsi="宋体" w:cs="宋体"/>
                <w:color w:val="auto"/>
                <w:kern w:val="0"/>
                <w:sz w:val="21"/>
                <w:szCs w:val="21"/>
                <w:highlight w:val="none"/>
              </w:rPr>
            </w:pPr>
            <w:r>
              <w:rPr>
                <w:rFonts w:hint="eastAsia" w:ascii="宋体" w:hAnsi="宋体" w:eastAsia="宋体" w:cs="宋体"/>
                <w:i w:val="0"/>
                <w:iCs w:val="0"/>
                <w:color w:val="auto"/>
                <w:kern w:val="0"/>
                <w:sz w:val="21"/>
                <w:szCs w:val="21"/>
                <w:u w:val="none"/>
                <w:lang w:val="en-US" w:eastAsia="zh-CN" w:bidi="ar"/>
              </w:rPr>
              <w:t>2022-2023-1</w:t>
            </w:r>
          </w:p>
        </w:tc>
        <w:tc>
          <w:tcPr>
            <w:tcW w:w="4202" w:type="dxa"/>
            <w:vAlign w:val="center"/>
          </w:tcPr>
          <w:p>
            <w:pPr>
              <w:keepNext w:val="0"/>
              <w:keepLines w:val="0"/>
              <w:widowControl/>
              <w:suppressLineNumbers w:val="0"/>
              <w:ind w:firstLine="420" w:firstLineChars="200"/>
              <w:jc w:val="center"/>
              <w:textAlignment w:val="center"/>
              <w:rPr>
                <w:rFonts w:hint="default" w:ascii="宋体" w:hAnsi="宋体" w:cs="宋体"/>
                <w:color w:val="auto"/>
                <w:kern w:val="0"/>
                <w:sz w:val="21"/>
                <w:szCs w:val="21"/>
                <w:highlight w:val="none"/>
                <w:lang w:val="en-US"/>
              </w:rPr>
            </w:pPr>
            <w:r>
              <w:rPr>
                <w:rFonts w:hint="eastAsia" w:ascii="宋体" w:hAnsi="宋体" w:cs="宋体"/>
                <w:i w:val="0"/>
                <w:iCs w:val="0"/>
                <w:color w:val="auto"/>
                <w:kern w:val="0"/>
                <w:sz w:val="21"/>
                <w:szCs w:val="21"/>
                <w:highlight w:val="none"/>
                <w:u w:val="none"/>
                <w:lang w:val="en-US" w:eastAsia="zh-CN" w:bidi="ar"/>
              </w:rPr>
              <w:t>5114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064" w:type="dxa"/>
            <w:vAlign w:val="center"/>
          </w:tcPr>
          <w:p>
            <w:pPr>
              <w:keepNext w:val="0"/>
              <w:keepLines w:val="0"/>
              <w:widowControl/>
              <w:suppressLineNumbers w:val="0"/>
              <w:ind w:firstLine="420" w:firstLineChars="200"/>
              <w:jc w:val="center"/>
              <w:textAlignment w:val="center"/>
              <w:rPr>
                <w:rFonts w:ascii="宋体" w:hAnsi="宋体" w:cs="宋体"/>
                <w:color w:val="auto"/>
                <w:kern w:val="0"/>
                <w:sz w:val="21"/>
                <w:szCs w:val="21"/>
                <w:highlight w:val="none"/>
              </w:rPr>
            </w:pPr>
            <w:r>
              <w:rPr>
                <w:rFonts w:hint="eastAsia" w:ascii="宋体" w:hAnsi="宋体" w:eastAsia="宋体" w:cs="宋体"/>
                <w:i w:val="0"/>
                <w:iCs w:val="0"/>
                <w:color w:val="auto"/>
                <w:kern w:val="0"/>
                <w:sz w:val="21"/>
                <w:szCs w:val="21"/>
                <w:u w:val="none"/>
                <w:lang w:val="en-US" w:eastAsia="zh-CN" w:bidi="ar"/>
              </w:rPr>
              <w:t>2022-2023-2</w:t>
            </w:r>
          </w:p>
        </w:tc>
        <w:tc>
          <w:tcPr>
            <w:tcW w:w="4202" w:type="dxa"/>
            <w:vAlign w:val="center"/>
          </w:tcPr>
          <w:p>
            <w:pPr>
              <w:keepNext w:val="0"/>
              <w:keepLines w:val="0"/>
              <w:widowControl/>
              <w:suppressLineNumbers w:val="0"/>
              <w:ind w:firstLine="420" w:firstLineChars="200"/>
              <w:jc w:val="center"/>
              <w:textAlignment w:val="center"/>
              <w:rPr>
                <w:rFonts w:hint="default" w:ascii="宋体" w:hAnsi="宋体" w:cs="宋体"/>
                <w:color w:val="auto"/>
                <w:kern w:val="0"/>
                <w:sz w:val="21"/>
                <w:szCs w:val="21"/>
                <w:highlight w:val="none"/>
                <w:lang w:val="en-US"/>
              </w:rPr>
            </w:pPr>
            <w:r>
              <w:rPr>
                <w:rFonts w:hint="eastAsia" w:ascii="宋体" w:hAnsi="宋体" w:cs="宋体"/>
                <w:i w:val="0"/>
                <w:iCs w:val="0"/>
                <w:color w:val="auto"/>
                <w:kern w:val="0"/>
                <w:sz w:val="21"/>
                <w:szCs w:val="21"/>
                <w:highlight w:val="none"/>
                <w:u w:val="none"/>
                <w:lang w:val="en-US" w:eastAsia="zh-CN" w:bidi="ar"/>
              </w:rPr>
              <w:t>4129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064" w:type="dxa"/>
            <w:vAlign w:val="center"/>
          </w:tcPr>
          <w:p>
            <w:pPr>
              <w:keepNext w:val="0"/>
              <w:keepLines w:val="0"/>
              <w:widowControl/>
              <w:suppressLineNumbers w:val="0"/>
              <w:ind w:firstLine="420" w:firstLineChars="200"/>
              <w:jc w:val="center"/>
              <w:textAlignment w:val="center"/>
              <w:rPr>
                <w:rFonts w:ascii="宋体" w:hAnsi="宋体" w:cs="宋体"/>
                <w:color w:val="auto"/>
                <w:kern w:val="0"/>
                <w:sz w:val="21"/>
                <w:szCs w:val="21"/>
                <w:highlight w:val="none"/>
              </w:rPr>
            </w:pPr>
            <w:r>
              <w:rPr>
                <w:rFonts w:hint="eastAsia" w:ascii="宋体" w:hAnsi="宋体" w:eastAsia="宋体" w:cs="宋体"/>
                <w:i w:val="0"/>
                <w:iCs w:val="0"/>
                <w:color w:val="auto"/>
                <w:kern w:val="0"/>
                <w:sz w:val="21"/>
                <w:szCs w:val="21"/>
                <w:u w:val="none"/>
                <w:lang w:val="en-US" w:eastAsia="zh-CN" w:bidi="ar"/>
              </w:rPr>
              <w:t>共计</w:t>
            </w:r>
          </w:p>
        </w:tc>
        <w:tc>
          <w:tcPr>
            <w:tcW w:w="4202" w:type="dxa"/>
            <w:vAlign w:val="center"/>
          </w:tcPr>
          <w:p>
            <w:pPr>
              <w:keepNext w:val="0"/>
              <w:keepLines w:val="0"/>
              <w:widowControl/>
              <w:suppressLineNumbers w:val="0"/>
              <w:ind w:firstLine="420" w:firstLineChars="200"/>
              <w:jc w:val="center"/>
              <w:textAlignment w:val="center"/>
              <w:rPr>
                <w:rFonts w:hint="default" w:ascii="宋体" w:hAnsi="宋体" w:cs="宋体"/>
                <w:color w:val="auto"/>
                <w:kern w:val="0"/>
                <w:sz w:val="21"/>
                <w:szCs w:val="21"/>
                <w:highlight w:val="none"/>
                <w:lang w:val="en-US"/>
              </w:rPr>
            </w:pPr>
            <w:r>
              <w:rPr>
                <w:rFonts w:hint="eastAsia" w:ascii="宋体" w:hAnsi="宋体" w:cs="宋体"/>
                <w:i w:val="0"/>
                <w:iCs w:val="0"/>
                <w:color w:val="auto"/>
                <w:kern w:val="0"/>
                <w:sz w:val="21"/>
                <w:szCs w:val="21"/>
                <w:highlight w:val="none"/>
                <w:u w:val="none"/>
                <w:lang w:val="en-US" w:eastAsia="zh-CN" w:bidi="ar"/>
              </w:rPr>
              <w:t>9243</w:t>
            </w:r>
          </w:p>
        </w:tc>
      </w:tr>
    </w:tbl>
    <w:p>
      <w:pPr>
        <w:pStyle w:val="3"/>
        <w:numPr>
          <w:ilvl w:val="0"/>
          <w:numId w:val="1"/>
        </w:numPr>
        <w:spacing w:before="156" w:after="156"/>
        <w:rPr>
          <w:rFonts w:ascii="宋体" w:hAnsi="宋体" w:eastAsia="宋体" w:cs="宋体"/>
          <w:color w:val="auto"/>
          <w:kern w:val="2"/>
          <w:szCs w:val="21"/>
          <w:highlight w:val="none"/>
        </w:rPr>
      </w:pPr>
      <w:bookmarkStart w:id="438" w:name="_Toc8235"/>
      <w:bookmarkStart w:id="439" w:name="_Toc10419"/>
      <w:bookmarkStart w:id="440" w:name="_Toc89702860"/>
      <w:bookmarkStart w:id="441" w:name="_Toc88219372"/>
      <w:bookmarkStart w:id="442" w:name="_Toc613"/>
      <w:bookmarkStart w:id="443" w:name="_Toc88218620"/>
      <w:bookmarkStart w:id="444" w:name="_Toc533613954"/>
      <w:r>
        <w:rPr>
          <w:rFonts w:hint="eastAsia" w:ascii="宋体" w:hAnsi="宋体" w:eastAsia="宋体" w:cs="宋体"/>
          <w:color w:val="auto"/>
          <w:kern w:val="2"/>
          <w:szCs w:val="21"/>
          <w:highlight w:val="none"/>
        </w:rPr>
        <w:t>实践教学学分占总学分比例</w:t>
      </w:r>
      <w:bookmarkEnd w:id="438"/>
      <w:bookmarkEnd w:id="439"/>
      <w:bookmarkEnd w:id="440"/>
      <w:bookmarkEnd w:id="441"/>
      <w:bookmarkEnd w:id="442"/>
      <w:bookmarkEnd w:id="443"/>
      <w:bookmarkEnd w:id="444"/>
    </w:p>
    <w:tbl>
      <w:tblPr>
        <w:tblStyle w:val="19"/>
        <w:tblW w:w="85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5"/>
        <w:gridCol w:w="5016"/>
        <w:gridCol w:w="2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序号</w:t>
            </w:r>
          </w:p>
        </w:tc>
        <w:tc>
          <w:tcPr>
            <w:tcW w:w="5016" w:type="dxa"/>
            <w:vAlign w:val="center"/>
          </w:tcPr>
          <w:p>
            <w:pPr>
              <w:widowControl/>
              <w:numPr>
                <w:ilvl w:val="255"/>
                <w:numId w:val="0"/>
              </w:numPr>
              <w:jc w:val="center"/>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校内专业名称</w:t>
            </w:r>
          </w:p>
        </w:tc>
        <w:tc>
          <w:tcPr>
            <w:tcW w:w="2310" w:type="dxa"/>
            <w:vAlign w:val="center"/>
          </w:tcPr>
          <w:p>
            <w:pPr>
              <w:widowControl/>
              <w:numPr>
                <w:ilvl w:val="255"/>
                <w:numId w:val="0"/>
              </w:numPr>
              <w:jc w:val="center"/>
              <w:textAlignment w:val="center"/>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rPr>
              <w:t>实践教学学分占总学分的比例</w:t>
            </w: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lang w:val="en-US" w:eastAsia="zh-CN"/>
              </w:rPr>
              <w:t>%</w:t>
            </w:r>
            <w:r>
              <w:rPr>
                <w:rFonts w:hint="eastAsia" w:ascii="宋体" w:hAnsi="宋体" w:cs="宋体"/>
                <w:color w:val="auto"/>
                <w:kern w:val="0"/>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汉语言文学（师范）</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11.75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汉语言文学</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9.94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历史学（师范）</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9.94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旅游管理</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旅游管理（专升本）</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17.50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会展经济与管理</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汉语国际教育</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9.94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历史学（历史学+思想政治教育本硕衔接试验班）（师范）</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11.59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汉语言文学（专升本）</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16.87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汉语言文学（经亨颐实验班）（师范）</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9.94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数学与应用数学（师范）</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12.05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物理学（师范）</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13</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科学教育（师范）</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11.45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14</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统计学</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12.65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15</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地理信息科学</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11.45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16</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应用统计学</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12.05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17</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数据科学与大数据技术</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13.25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18</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物理学（复合教育技术学）（师范）</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19</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物理学（物理学+教育技术学本硕衔接试验班）（师范）</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20</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生物科学（师范）</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11.45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21</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生物技术</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22</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环境工程</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11.64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23</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生物技术（专升本）</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24</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生态学</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12.35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25</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生物技术（第二学位）</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10.19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26</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计算机科学与技术（师范）</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10.84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27</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计算机科学与技术</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11.45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28</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电子信息工程</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11.45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29</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软件工程</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11.45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30</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体育教育（师范）</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13.25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31</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休闲体育</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13.25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32</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武术与民族传统体育（师范）</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15.06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33</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美术学（师范）</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15.66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34</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绘画</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12.05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35</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公共艺术</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19.28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36</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视觉传达设计</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14.46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37</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环境设计</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14.46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38</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书法学</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12.05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39</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视觉传达设计（专升本）</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23.49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40</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环境设计（专升本）</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23.49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41</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英语（师范）</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10.84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42</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英语</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43</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日语</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8.43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44</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朝鲜语</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45</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翻译</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12.05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46</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英语（实验班）</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47</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英语（中美班）</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48</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朝鲜语（第二学位）</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11.11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49</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英语（专升本）</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16.87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50</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英语（经亨颐实验班）（师范）</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51</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思想政治教育（师范）</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52</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经济学</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10.84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53</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社会工作</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9.41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54</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行政管理</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55</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社会学</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56</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应用心理学（师范）</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57</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教育技术学（师范）</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10.49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58</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小学教育（师范）</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59</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学前教育（师范）</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60</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特殊教育（师范）</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61</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法学</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62</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知识产权</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63</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临床医学</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11.21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64</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口腔医学</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13.39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65</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口腔医学</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13.39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66</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临床医学</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11.21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67</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护理学</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13.86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68</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护理学（专升本）</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51.25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69</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护理学（中本一体化）</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13.86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70</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公共事业管理（卫生事业管理方向）</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71</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药学</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9.58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72</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预防医学</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12.50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73</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基础医学</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15.61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74</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化学（师范）</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75</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应用化学</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8.43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76</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高分子材料与工程</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7.83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77</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制药工程</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9.04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78</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应用化学（专升本）</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16.87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79</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化学（实验班）</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9.04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80</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高分子材料与工程（第二学位）</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7.69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81</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电子商务</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10.84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82</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市场营销（网络营销方向）</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10.84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83</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国际商务</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10.84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84</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电子商务（专升本）</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16.87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85</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物流管理</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10.84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86</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电子商务（新疆班）</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10.84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87</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电子商务（数字经济创新实验班）</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10.54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88</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大数据管理与应用</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10.84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89</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市场营销（专升本）</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16.87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90</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会计学</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10.84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91</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计算机科学与技术（金融信息服务方向）</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11.45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92</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物联网工程</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11.45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93</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计算机科学与技术（专升本）</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16.87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94</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动画</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18.07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95</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文化产业管理</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15.06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96</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数字媒体艺术</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18.07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97</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动画（专升本）</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24.10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98</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播音与主持艺术</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16.27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99</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广播电视编导</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16.27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100</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文科综合-汉语言文学（师范）</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9.41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101</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文科综合-英语（师范）</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9.41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102</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理科综合-数学与应用数学（师范）</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9.41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103</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数学与应用数学（经亨颐实验班）（师范）</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13.86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104</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数据科学与大数据技术（第二学位）</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11.39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105</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金融工程</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10.84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106</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经济学（专升本）</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16.87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107</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应用心理学</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108</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音乐学（师范）</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10.84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109</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舞蹈学（师范）</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10.84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110</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应用心理学（第二学位）</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12.50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111</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健康服务与管理</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112</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地理信息科学（中外合作）</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13.75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113</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应用化学（中外合作）</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13.75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114</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高分子材料与工程（中外合作）</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13.75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115</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机械设计制造及其自动化</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14.46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116</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工业设计</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12.95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117</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环境工程</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11.64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118</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环境工程（专升本）</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119</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机械设计制造及其自动化（专升本）</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24.10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120</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思想政治教育（师范）</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bookmarkStart w:id="445" w:name="_Toc32383"/>
            <w:bookmarkStart w:id="446" w:name="_Toc89702861"/>
            <w:bookmarkStart w:id="447" w:name="_Toc533613955"/>
            <w:bookmarkStart w:id="448" w:name="_Toc24419"/>
            <w:bookmarkStart w:id="449" w:name="_Toc88219373"/>
            <w:bookmarkStart w:id="450" w:name="_Toc88218621"/>
            <w:r>
              <w:rPr>
                <w:rFonts w:hint="eastAsia" w:ascii="宋体" w:hAnsi="宋体" w:cs="宋体"/>
                <w:color w:val="auto"/>
                <w:kern w:val="0"/>
                <w:sz w:val="21"/>
                <w:szCs w:val="21"/>
                <w:highlight w:val="none"/>
                <w:lang w:val="en-US" w:eastAsia="zh-CN"/>
              </w:rPr>
              <w:t>121</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经济学（国际学生）</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17.50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122</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国际商务（国际学生）</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7.50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123</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护理学（国际学生）</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26.25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124</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计算机科学与技术（国际学生）</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27.50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125</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数据科学与大数据技术（国际学生）</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17.48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126</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食品质量与安全</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9.55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127</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应用物理学（专升本）</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12.05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128</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汉语言（国际学生）</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5.00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129</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金融工程（国际学生）</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11.59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5"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130</w:t>
            </w:r>
          </w:p>
        </w:tc>
        <w:tc>
          <w:tcPr>
            <w:tcW w:w="5016"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汉语国际教育（国际学生）</w:t>
            </w:r>
          </w:p>
        </w:tc>
        <w:tc>
          <w:tcPr>
            <w:tcW w:w="2310"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15.31  </w:t>
            </w:r>
          </w:p>
        </w:tc>
      </w:tr>
    </w:tbl>
    <w:p>
      <w:pPr>
        <w:pStyle w:val="3"/>
        <w:numPr>
          <w:ilvl w:val="0"/>
          <w:numId w:val="1"/>
        </w:numPr>
        <w:spacing w:before="156" w:after="156"/>
        <w:rPr>
          <w:rFonts w:ascii="宋体" w:hAnsi="宋体" w:eastAsia="宋体" w:cs="宋体"/>
          <w:color w:val="auto"/>
          <w:szCs w:val="21"/>
          <w:highlight w:val="none"/>
        </w:rPr>
      </w:pPr>
      <w:bookmarkStart w:id="451" w:name="_Toc3757"/>
      <w:r>
        <w:rPr>
          <w:rFonts w:hint="eastAsia" w:ascii="宋体" w:hAnsi="宋体" w:eastAsia="宋体" w:cs="宋体"/>
          <w:color w:val="auto"/>
          <w:szCs w:val="21"/>
          <w:highlight w:val="none"/>
        </w:rPr>
        <w:t>选修课学分占总学分比例</w:t>
      </w:r>
      <w:bookmarkEnd w:id="445"/>
      <w:bookmarkEnd w:id="446"/>
      <w:bookmarkEnd w:id="447"/>
      <w:bookmarkEnd w:id="448"/>
      <w:bookmarkEnd w:id="449"/>
      <w:bookmarkEnd w:id="450"/>
      <w:bookmarkEnd w:id="451"/>
    </w:p>
    <w:tbl>
      <w:tblPr>
        <w:tblStyle w:val="19"/>
        <w:tblW w:w="85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1"/>
        <w:gridCol w:w="5025"/>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序号</w:t>
            </w:r>
          </w:p>
        </w:tc>
        <w:tc>
          <w:tcPr>
            <w:tcW w:w="5025" w:type="dxa"/>
            <w:vAlign w:val="center"/>
          </w:tcPr>
          <w:p>
            <w:pPr>
              <w:widowControl/>
              <w:numPr>
                <w:ilvl w:val="255"/>
                <w:numId w:val="0"/>
              </w:numPr>
              <w:jc w:val="center"/>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校内专业名称</w:t>
            </w:r>
          </w:p>
        </w:tc>
        <w:tc>
          <w:tcPr>
            <w:tcW w:w="2295" w:type="dxa"/>
            <w:vAlign w:val="center"/>
          </w:tcPr>
          <w:p>
            <w:pPr>
              <w:widowControl/>
              <w:numPr>
                <w:ilvl w:val="255"/>
                <w:numId w:val="0"/>
              </w:numPr>
              <w:jc w:val="center"/>
              <w:textAlignment w:val="center"/>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lang w:val="en-US" w:eastAsia="zh-CN"/>
              </w:rPr>
              <w:t>选修课</w:t>
            </w:r>
            <w:r>
              <w:rPr>
                <w:rFonts w:hint="eastAsia" w:ascii="宋体" w:hAnsi="宋体" w:cs="宋体"/>
                <w:color w:val="auto"/>
                <w:kern w:val="0"/>
                <w:sz w:val="21"/>
                <w:szCs w:val="21"/>
                <w:highlight w:val="none"/>
              </w:rPr>
              <w:t>学分占总学分比例</w:t>
            </w: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lang w:val="en-US" w:eastAsia="zh-CN"/>
              </w:rPr>
              <w:t>%</w:t>
            </w:r>
            <w:r>
              <w:rPr>
                <w:rFonts w:hint="eastAsia" w:ascii="宋体" w:hAnsi="宋体" w:cs="宋体"/>
                <w:color w:val="auto"/>
                <w:kern w:val="0"/>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汉语言文学（师范）</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30.42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汉语言文学</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31.33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历史学（师范）</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26.81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旅游管理</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35.24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旅游管理（专升本）</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40.00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会展经济与管理</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35.54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汉语国际教育</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33.73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历史学（历史学+思想政治教育本硕衔接试验班）（师范）</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10.45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汉语言文学（专升本）</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38.55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汉语言文学（经亨颐实验班）（师范）</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27.71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数学与应用数学（师范）</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29.22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物理学（师范）</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17.17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13</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科学教育（师范）</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13.86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14</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统计学</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31.02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15</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地理信息科学</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37.05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16</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应用统计学</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37.05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17</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数据科学与大数据技术</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34.04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18</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物理学（复合教育技术学）（师范）</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10.84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19</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物理学（物理学+教育技术学本硕衔接试验班）（师范）</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9.64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20</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生物科学（师范）</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13.55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21</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生物技术</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28.31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22</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环境工程</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13.13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23</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生物技术（专升本）</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23.08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24</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生态学</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10.84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25</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生物技术（第二学位）</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47.13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26</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计算机科学与技术（师范）</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19.58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27</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计算机科学与技术</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21.69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28</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电子信息工程</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29.82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29</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软件工程</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25.00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30</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体育教育（师范）</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18.98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31</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休闲体育</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25.60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32</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武术与民族传统体育（师范）</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12.35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33</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美术学（师范）</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16.27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34</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绘画</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30.42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35</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公共艺术</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20.48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36</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视觉传达设计</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29.22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37</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环境设计</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22.59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38</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书法学</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19.28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39</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视觉传达设计（专升本）</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30.12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40</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环境设计（专升本）</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25.30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41</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英语（师范）</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26.51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42</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英语</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28.92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43</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日语</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12.05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44</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朝鲜语</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31.93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45</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翻译</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33.73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46</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英语（实验班）</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33.13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47</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英语（中美班）</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49.40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48</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朝鲜语（第二学位）</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49</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英语（专升本）</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38.55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50</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英语（经亨颐实验班）（师范）</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25.90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51</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思想政治教育（师范）</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30.72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52</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经济学</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34.64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53</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社会工作</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37.94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54</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行政管理</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37.54  </w:t>
            </w:r>
          </w:p>
        </w:tc>
      </w:tr>
      <w:tr>
        <w:tblPrEx>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55</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社会学</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38.95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56</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应用心理学（师范）</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20.48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57</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教育技术学（师范）</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26.85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58</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小学教育（师范）</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45.78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59</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学前教育（师范）</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28.92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60</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特殊教育（师范）</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25.90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61</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法学</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21.08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62</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知识产权</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21.69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63</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临床医学</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11.88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64</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口腔医学</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7.81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65</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口腔医学</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7.81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66</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临床医学</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11.88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67</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护理学</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68</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护理学（专升本）</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13.75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69</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护理学（中本一体化）</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70</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公共事业管理（卫生事业管理方向）</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33.43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71</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药学</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14.37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72</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预防医学</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12.50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73</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基础医学</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8.78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74</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化学（师范）</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22.89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75</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应用化学</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30.42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76</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高分子材料与工程</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10.84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77</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制药工程</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78</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应用化学（专升本）</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38.55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79</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化学（实验班）</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27.71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80</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高分子材料与工程（第二学位）</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23.08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81</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电子商务</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34.64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82</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市场营销（网络营销方向）</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36.45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83</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国际商务</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34.64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84</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电子商务（专升本）</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38.55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85</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物流管理</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35.24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86</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电子商务（新疆班）</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37.65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87</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电子商务（数字经济创新实验班）</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34.34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88</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大数据管理与应用</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34.64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89</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市场营销（专升本）</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38.55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90</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会计学</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35.24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91</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计算机科学与技术（金融信息服务方向）</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21.39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92</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物联网工程</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35.54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93</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计算机科学与技术（专升本）</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28.92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94</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动画</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31.93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95</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文化产业管理</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28.61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96</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数字媒体艺术</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31.93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97</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动画（专升本）</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36.14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98</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播音与主持艺术</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24.10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99</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广播电视编导</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22.29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100</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文科综合-汉语言文学（师范）</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15.29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101</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文科综合-英语（师范）</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19.41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102</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理科综合-数学与应用数学（师范）</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10.59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103</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数学与应用数学（经亨颐实验班）（师范）</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10.54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104</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数据科学与大数据技术（第二学位）</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20.25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105</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金融工程</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15.66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106</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经济学（专升本）</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38.55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107</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应用心理学</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24.70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108</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音乐学（师范）</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17.47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109</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舞蹈学（师范）</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17.47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110</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应用心理学（第二学位）</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27.78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111</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健康服务与管理</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33.73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112</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地理信息科学（中外合作）</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6.67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113</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应用化学（中外合作）</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6.67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114</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高分子材料与工程（中外合作）</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7.08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115</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机械设计制造及其自动化</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12.05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116</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工业设计</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18.67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117</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环境工程</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10.75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118</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环境工程（专升本）</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19.28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119</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机械设计制造及其自动化（专升本）</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22.29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120</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思想政治教育（师范）</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32.53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121</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经济学（国际学生）</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122</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国际商务（国际学生）</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123</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护理学（国际学生）</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6.56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124</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计算机科学与技术（国际学生）</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125</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数据科学与大数据技术（国际学生）</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126</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食品质量与安全</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19.70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127</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应用物理学（专升本）</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38.55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128</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汉语言（国际学生）</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129</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金融工程（国际学生）</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1" w:type="dxa"/>
            <w:vAlign w:val="center"/>
          </w:tcPr>
          <w:p>
            <w:pPr>
              <w:widowControl/>
              <w:ind w:left="0" w:leftChars="0" w:firstLine="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130</w:t>
            </w:r>
          </w:p>
        </w:tc>
        <w:tc>
          <w:tcPr>
            <w:tcW w:w="502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汉语国际教育（国际学生）</w:t>
            </w:r>
          </w:p>
        </w:tc>
        <w:tc>
          <w:tcPr>
            <w:tcW w:w="2295" w:type="dxa"/>
            <w:vAlign w:val="center"/>
          </w:tcPr>
          <w:p>
            <w:pPr>
              <w:widowControl/>
              <w:ind w:firstLine="420" w:firstLineChars="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 xml:space="preserve">34.38  </w:t>
            </w:r>
          </w:p>
        </w:tc>
      </w:tr>
    </w:tbl>
    <w:p>
      <w:pPr>
        <w:pStyle w:val="3"/>
        <w:spacing w:before="156" w:after="156"/>
        <w:rPr>
          <w:rFonts w:ascii="宋体" w:hAnsi="宋体" w:eastAsia="宋体" w:cs="宋体"/>
          <w:color w:val="auto"/>
          <w:szCs w:val="21"/>
          <w:highlight w:val="none"/>
        </w:rPr>
      </w:pPr>
      <w:bookmarkStart w:id="452" w:name="_Toc27625"/>
      <w:bookmarkStart w:id="453" w:name="_Toc533613956"/>
      <w:bookmarkStart w:id="454" w:name="_Toc6251"/>
      <w:bookmarkStart w:id="455" w:name="_Toc88219374"/>
      <w:bookmarkStart w:id="456" w:name="_Toc429"/>
      <w:bookmarkStart w:id="457" w:name="_Toc88218622"/>
      <w:bookmarkStart w:id="458" w:name="_Toc89702862"/>
      <w:r>
        <w:rPr>
          <w:rFonts w:hint="eastAsia" w:ascii="宋体" w:hAnsi="宋体" w:eastAsia="宋体" w:cs="宋体"/>
          <w:color w:val="auto"/>
          <w:szCs w:val="21"/>
          <w:highlight w:val="none"/>
        </w:rPr>
        <w:t>18.</w:t>
      </w:r>
      <w:r>
        <w:rPr>
          <w:rFonts w:hint="eastAsia" w:ascii="宋体" w:hAnsi="宋体" w:eastAsia="宋体" w:cs="宋体"/>
          <w:color w:val="auto"/>
          <w:kern w:val="2"/>
          <w:szCs w:val="21"/>
          <w:highlight w:val="none"/>
        </w:rPr>
        <w:t>主讲本科课程的教授占教授总数的比例</w:t>
      </w:r>
      <w:bookmarkEnd w:id="452"/>
      <w:bookmarkEnd w:id="453"/>
      <w:bookmarkEnd w:id="454"/>
      <w:bookmarkEnd w:id="455"/>
      <w:bookmarkEnd w:id="456"/>
      <w:bookmarkEnd w:id="457"/>
      <w:bookmarkEnd w:id="458"/>
    </w:p>
    <w:tbl>
      <w:tblPr>
        <w:tblStyle w:val="18"/>
        <w:tblW w:w="488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4"/>
        <w:gridCol w:w="2552"/>
        <w:gridCol w:w="4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711"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教授人数</w:t>
            </w:r>
          </w:p>
        </w:tc>
        <w:tc>
          <w:tcPr>
            <w:tcW w:w="1532"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为本科生上课的教授人数</w:t>
            </w:r>
          </w:p>
        </w:tc>
        <w:tc>
          <w:tcPr>
            <w:tcW w:w="2755"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为本科生上课的教授占教授人数的百分比（%）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711" w:type="pct"/>
            <w:vAlign w:val="center"/>
          </w:tcPr>
          <w:p>
            <w:pPr>
              <w:widowControl/>
              <w:spacing w:line="360" w:lineRule="exact"/>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384</w:t>
            </w:r>
          </w:p>
        </w:tc>
        <w:tc>
          <w:tcPr>
            <w:tcW w:w="1532" w:type="pct"/>
            <w:vAlign w:val="center"/>
          </w:tcPr>
          <w:p>
            <w:pPr>
              <w:widowControl/>
              <w:spacing w:line="360" w:lineRule="exact"/>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361</w:t>
            </w:r>
          </w:p>
        </w:tc>
        <w:tc>
          <w:tcPr>
            <w:tcW w:w="2755" w:type="pct"/>
            <w:vAlign w:val="center"/>
          </w:tcPr>
          <w:p>
            <w:pPr>
              <w:widowControl/>
              <w:spacing w:line="360" w:lineRule="exact"/>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94.01</w:t>
            </w:r>
          </w:p>
        </w:tc>
      </w:tr>
    </w:tbl>
    <w:p>
      <w:pPr>
        <w:pStyle w:val="3"/>
        <w:spacing w:before="156" w:after="156"/>
        <w:rPr>
          <w:rFonts w:ascii="宋体" w:hAnsi="宋体" w:eastAsia="宋体" w:cs="宋体"/>
          <w:color w:val="auto"/>
          <w:kern w:val="2"/>
          <w:szCs w:val="21"/>
          <w:highlight w:val="none"/>
        </w:rPr>
      </w:pPr>
      <w:bookmarkStart w:id="459" w:name="_Toc20125"/>
      <w:bookmarkStart w:id="460" w:name="_Toc28238"/>
      <w:bookmarkStart w:id="461" w:name="_Toc88218623"/>
      <w:bookmarkStart w:id="462" w:name="_Toc2643"/>
      <w:bookmarkStart w:id="463" w:name="_Toc533613957"/>
      <w:bookmarkStart w:id="464" w:name="_Toc88219375"/>
      <w:bookmarkStart w:id="465" w:name="_Toc89702863"/>
      <w:r>
        <w:rPr>
          <w:rFonts w:hint="eastAsia" w:ascii="宋体" w:hAnsi="宋体" w:eastAsia="宋体" w:cs="宋体"/>
          <w:color w:val="auto"/>
          <w:szCs w:val="21"/>
          <w:highlight w:val="none"/>
        </w:rPr>
        <w:t>19.</w:t>
      </w:r>
      <w:r>
        <w:rPr>
          <w:rFonts w:hint="eastAsia" w:ascii="宋体" w:hAnsi="宋体" w:eastAsia="宋体" w:cs="宋体"/>
          <w:color w:val="auto"/>
          <w:kern w:val="2"/>
          <w:szCs w:val="21"/>
          <w:highlight w:val="none"/>
        </w:rPr>
        <w:t>教授讲授本科课程占课程总门次数的比例</w:t>
      </w:r>
      <w:bookmarkEnd w:id="459"/>
      <w:bookmarkEnd w:id="460"/>
      <w:bookmarkEnd w:id="461"/>
      <w:bookmarkEnd w:id="462"/>
      <w:bookmarkEnd w:id="463"/>
      <w:bookmarkEnd w:id="464"/>
      <w:bookmarkEnd w:id="465"/>
    </w:p>
    <w:tbl>
      <w:tblPr>
        <w:tblStyle w:val="18"/>
        <w:tblW w:w="488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7"/>
        <w:gridCol w:w="2528"/>
        <w:gridCol w:w="4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1"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课程总门次数</w:t>
            </w:r>
          </w:p>
        </w:tc>
        <w:tc>
          <w:tcPr>
            <w:tcW w:w="1518"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教授主讲课程门次数</w:t>
            </w:r>
          </w:p>
        </w:tc>
        <w:tc>
          <w:tcPr>
            <w:tcW w:w="2510"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教授主讲课程门次数占总门次数的比例（%）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617" w:type="dxa"/>
            <w:vAlign w:val="center"/>
          </w:tcPr>
          <w:p>
            <w:pPr>
              <w:widowControl/>
              <w:spacing w:line="360" w:lineRule="exact"/>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9243</w:t>
            </w:r>
          </w:p>
        </w:tc>
        <w:tc>
          <w:tcPr>
            <w:tcW w:w="2528" w:type="dxa"/>
            <w:vAlign w:val="center"/>
          </w:tcPr>
          <w:p>
            <w:pPr>
              <w:widowControl/>
              <w:spacing w:line="360" w:lineRule="exact"/>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1421</w:t>
            </w:r>
          </w:p>
        </w:tc>
        <w:tc>
          <w:tcPr>
            <w:tcW w:w="4181" w:type="dxa"/>
            <w:vAlign w:val="center"/>
          </w:tcPr>
          <w:p>
            <w:pPr>
              <w:widowControl/>
              <w:spacing w:line="360" w:lineRule="exact"/>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15.37</w:t>
            </w:r>
          </w:p>
        </w:tc>
      </w:tr>
    </w:tbl>
    <w:p>
      <w:pPr>
        <w:pStyle w:val="3"/>
        <w:numPr>
          <w:ilvl w:val="0"/>
          <w:numId w:val="2"/>
        </w:numPr>
        <w:spacing w:before="156" w:after="156"/>
        <w:rPr>
          <w:rFonts w:ascii="宋体" w:hAnsi="宋体" w:eastAsia="宋体" w:cs="宋体"/>
          <w:color w:val="auto"/>
          <w:szCs w:val="21"/>
          <w:highlight w:val="none"/>
        </w:rPr>
      </w:pPr>
      <w:bookmarkStart w:id="466" w:name="_Toc89702864"/>
      <w:bookmarkStart w:id="467" w:name="_Toc30743"/>
      <w:bookmarkStart w:id="468" w:name="_Toc20232"/>
      <w:bookmarkStart w:id="469" w:name="_Toc88218624"/>
      <w:bookmarkStart w:id="470" w:name="_Toc88219376"/>
      <w:bookmarkStart w:id="471" w:name="_Toc4062"/>
      <w:bookmarkStart w:id="472" w:name="_Toc533613958"/>
      <w:r>
        <w:rPr>
          <w:rFonts w:hint="eastAsia" w:ascii="宋体" w:hAnsi="宋体" w:eastAsia="宋体" w:cs="宋体"/>
          <w:color w:val="auto"/>
          <w:szCs w:val="21"/>
          <w:highlight w:val="none"/>
        </w:rPr>
        <w:t>教学班额情况</w:t>
      </w:r>
      <w:bookmarkEnd w:id="466"/>
      <w:bookmarkEnd w:id="467"/>
      <w:bookmarkEnd w:id="468"/>
      <w:bookmarkEnd w:id="469"/>
      <w:bookmarkEnd w:id="470"/>
      <w:bookmarkEnd w:id="471"/>
      <w:bookmarkEnd w:id="472"/>
    </w:p>
    <w:tbl>
      <w:tblPr>
        <w:tblStyle w:val="18"/>
        <w:tblW w:w="488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gridCol w:w="1382"/>
        <w:gridCol w:w="1267"/>
        <w:gridCol w:w="1500"/>
        <w:gridCol w:w="1382"/>
        <w:gridCol w:w="1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924" w:type="pct"/>
            <w:vAlign w:val="center"/>
          </w:tcPr>
          <w:p>
            <w:pPr>
              <w:widowControl/>
              <w:spacing w:line="360" w:lineRule="exact"/>
              <w:ind w:firstLine="0" w:firstLineChars="0"/>
              <w:rPr>
                <w:rFonts w:ascii="宋体" w:hAnsi="宋体" w:cs="宋体"/>
                <w:color w:val="auto"/>
                <w:kern w:val="0"/>
                <w:sz w:val="21"/>
                <w:szCs w:val="21"/>
                <w:highlight w:val="none"/>
              </w:rPr>
            </w:pPr>
            <w:bookmarkStart w:id="473" w:name="_Toc20394"/>
            <w:bookmarkStart w:id="474" w:name="_Toc88218625"/>
            <w:bookmarkStart w:id="475" w:name="_Toc26584"/>
            <w:bookmarkStart w:id="476" w:name="_Toc89702865"/>
            <w:bookmarkStart w:id="477" w:name="_Toc88219377"/>
            <w:bookmarkStart w:id="478" w:name="_Toc533613959"/>
            <w:r>
              <w:rPr>
                <w:rFonts w:hint="eastAsia" w:ascii="宋体" w:hAnsi="宋体" w:cs="宋体"/>
                <w:color w:val="auto"/>
                <w:kern w:val="0"/>
                <w:sz w:val="21"/>
                <w:szCs w:val="21"/>
                <w:highlight w:val="none"/>
              </w:rPr>
              <w:t>班级规模</w:t>
            </w:r>
          </w:p>
        </w:tc>
        <w:tc>
          <w:tcPr>
            <w:tcW w:w="829" w:type="pct"/>
            <w:vAlign w:val="center"/>
          </w:tcPr>
          <w:p>
            <w:pPr>
              <w:widowControl/>
              <w:spacing w:line="360" w:lineRule="exact"/>
              <w:ind w:firstLine="0" w:firstLineChars="0"/>
              <w:rPr>
                <w:rFonts w:ascii="宋体" w:hAnsi="宋体" w:cs="宋体"/>
                <w:color w:val="auto"/>
                <w:kern w:val="0"/>
                <w:sz w:val="21"/>
                <w:szCs w:val="21"/>
                <w:highlight w:val="none"/>
              </w:rPr>
            </w:pPr>
            <w:r>
              <w:rPr>
                <w:rFonts w:hint="eastAsia" w:ascii="宋体" w:hAnsi="宋体" w:cs="宋体"/>
                <w:color w:val="auto"/>
                <w:kern w:val="0"/>
                <w:sz w:val="21"/>
                <w:szCs w:val="21"/>
                <w:highlight w:val="none"/>
              </w:rPr>
              <w:t>公共必修课</w:t>
            </w:r>
          </w:p>
        </w:tc>
        <w:tc>
          <w:tcPr>
            <w:tcW w:w="760" w:type="pct"/>
            <w:vAlign w:val="center"/>
          </w:tcPr>
          <w:p>
            <w:pPr>
              <w:widowControl/>
              <w:spacing w:line="360" w:lineRule="exact"/>
              <w:ind w:firstLine="0" w:firstLineChars="0"/>
              <w:rPr>
                <w:rFonts w:ascii="宋体" w:hAnsi="宋体" w:cs="宋体"/>
                <w:color w:val="auto"/>
                <w:kern w:val="0"/>
                <w:sz w:val="21"/>
                <w:szCs w:val="21"/>
                <w:highlight w:val="none"/>
              </w:rPr>
            </w:pPr>
            <w:r>
              <w:rPr>
                <w:rFonts w:hint="eastAsia" w:ascii="宋体" w:hAnsi="宋体" w:cs="宋体"/>
                <w:color w:val="auto"/>
                <w:kern w:val="0"/>
                <w:sz w:val="21"/>
                <w:szCs w:val="21"/>
                <w:highlight w:val="none"/>
              </w:rPr>
              <w:t>公共选修课</w:t>
            </w:r>
          </w:p>
        </w:tc>
        <w:tc>
          <w:tcPr>
            <w:tcW w:w="900" w:type="pct"/>
            <w:vAlign w:val="center"/>
          </w:tcPr>
          <w:p>
            <w:pPr>
              <w:widowControl/>
              <w:spacing w:line="360" w:lineRule="exact"/>
              <w:ind w:firstLine="210" w:firstLineChars="100"/>
              <w:rPr>
                <w:rFonts w:ascii="宋体" w:hAnsi="宋体" w:cs="宋体"/>
                <w:color w:val="auto"/>
                <w:kern w:val="0"/>
                <w:sz w:val="21"/>
                <w:szCs w:val="21"/>
                <w:highlight w:val="none"/>
              </w:rPr>
            </w:pPr>
            <w:r>
              <w:rPr>
                <w:rFonts w:hint="eastAsia" w:ascii="宋体" w:hAnsi="宋体" w:cs="宋体"/>
                <w:color w:val="auto"/>
                <w:kern w:val="0"/>
                <w:sz w:val="21"/>
                <w:szCs w:val="21"/>
                <w:highlight w:val="none"/>
              </w:rPr>
              <w:t>专业课</w:t>
            </w:r>
          </w:p>
        </w:tc>
        <w:tc>
          <w:tcPr>
            <w:tcW w:w="829" w:type="pct"/>
            <w:vAlign w:val="center"/>
          </w:tcPr>
          <w:p>
            <w:pPr>
              <w:widowControl/>
              <w:spacing w:line="360" w:lineRule="exact"/>
              <w:ind w:firstLine="420"/>
              <w:rPr>
                <w:rFonts w:ascii="宋体" w:hAnsi="宋体" w:cs="宋体"/>
                <w:color w:val="auto"/>
                <w:kern w:val="0"/>
                <w:sz w:val="21"/>
                <w:szCs w:val="21"/>
                <w:highlight w:val="none"/>
              </w:rPr>
            </w:pPr>
            <w:r>
              <w:rPr>
                <w:rFonts w:hint="eastAsia" w:ascii="宋体" w:hAnsi="宋体" w:cs="宋体"/>
                <w:color w:val="auto"/>
                <w:kern w:val="0"/>
                <w:sz w:val="21"/>
                <w:szCs w:val="21"/>
                <w:highlight w:val="none"/>
              </w:rPr>
              <w:t>数量</w:t>
            </w:r>
          </w:p>
        </w:tc>
        <w:tc>
          <w:tcPr>
            <w:tcW w:w="755"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924" w:type="pct"/>
            <w:vAlign w:val="center"/>
          </w:tcPr>
          <w:p>
            <w:pPr>
              <w:widowControl/>
              <w:ind w:firstLine="0" w:firstLineChars="0"/>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30及以下</w:t>
            </w:r>
          </w:p>
        </w:tc>
        <w:tc>
          <w:tcPr>
            <w:tcW w:w="1382" w:type="dxa"/>
            <w:vAlign w:val="center"/>
          </w:tcPr>
          <w:p>
            <w:pPr>
              <w:widowControl/>
              <w:ind w:firstLine="0" w:firstLineChars="0"/>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81</w:t>
            </w:r>
          </w:p>
        </w:tc>
        <w:tc>
          <w:tcPr>
            <w:tcW w:w="1267" w:type="dxa"/>
            <w:vAlign w:val="center"/>
          </w:tcPr>
          <w:p>
            <w:pPr>
              <w:widowControl/>
              <w:ind w:firstLine="0" w:firstLineChars="0"/>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32</w:t>
            </w:r>
          </w:p>
        </w:tc>
        <w:tc>
          <w:tcPr>
            <w:tcW w:w="1500" w:type="dxa"/>
            <w:vAlign w:val="center"/>
          </w:tcPr>
          <w:p>
            <w:pPr>
              <w:widowControl/>
              <w:ind w:firstLine="0" w:firstLineChars="0"/>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2180</w:t>
            </w:r>
          </w:p>
        </w:tc>
        <w:tc>
          <w:tcPr>
            <w:tcW w:w="1382" w:type="dxa"/>
            <w:vAlign w:val="center"/>
          </w:tcPr>
          <w:p>
            <w:pPr>
              <w:widowControl/>
              <w:ind w:firstLine="0" w:firstLineChars="0"/>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2293</w:t>
            </w:r>
          </w:p>
        </w:tc>
        <w:tc>
          <w:tcPr>
            <w:tcW w:w="1258" w:type="dxa"/>
            <w:vAlign w:val="center"/>
          </w:tcPr>
          <w:p>
            <w:pPr>
              <w:widowControl/>
              <w:ind w:firstLine="0" w:firstLineChars="0"/>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23.73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924" w:type="pct"/>
            <w:vAlign w:val="center"/>
          </w:tcPr>
          <w:p>
            <w:pPr>
              <w:widowControl/>
              <w:ind w:firstLine="0" w:firstLineChars="0"/>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31-60</w:t>
            </w:r>
          </w:p>
        </w:tc>
        <w:tc>
          <w:tcPr>
            <w:tcW w:w="1382" w:type="dxa"/>
            <w:vAlign w:val="center"/>
          </w:tcPr>
          <w:p>
            <w:pPr>
              <w:widowControl/>
              <w:ind w:firstLine="0" w:firstLineChars="0"/>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1050</w:t>
            </w:r>
          </w:p>
        </w:tc>
        <w:tc>
          <w:tcPr>
            <w:tcW w:w="1267" w:type="dxa"/>
            <w:vAlign w:val="center"/>
          </w:tcPr>
          <w:p>
            <w:pPr>
              <w:widowControl/>
              <w:ind w:firstLine="0" w:firstLineChars="0"/>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136</w:t>
            </w:r>
          </w:p>
        </w:tc>
        <w:tc>
          <w:tcPr>
            <w:tcW w:w="1500" w:type="dxa"/>
            <w:vAlign w:val="center"/>
          </w:tcPr>
          <w:p>
            <w:pPr>
              <w:widowControl/>
              <w:ind w:firstLine="0" w:firstLineChars="0"/>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4221</w:t>
            </w:r>
          </w:p>
        </w:tc>
        <w:tc>
          <w:tcPr>
            <w:tcW w:w="1382" w:type="dxa"/>
            <w:vAlign w:val="center"/>
          </w:tcPr>
          <w:p>
            <w:pPr>
              <w:widowControl/>
              <w:ind w:firstLine="0" w:firstLineChars="0"/>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5407</w:t>
            </w:r>
          </w:p>
        </w:tc>
        <w:tc>
          <w:tcPr>
            <w:tcW w:w="1258" w:type="dxa"/>
            <w:vAlign w:val="center"/>
          </w:tcPr>
          <w:p>
            <w:pPr>
              <w:widowControl/>
              <w:ind w:firstLine="0" w:firstLineChars="0"/>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55.96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924" w:type="pct"/>
            <w:vAlign w:val="center"/>
          </w:tcPr>
          <w:p>
            <w:pPr>
              <w:widowControl/>
              <w:ind w:firstLine="0" w:firstLineChars="0"/>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61-90</w:t>
            </w:r>
          </w:p>
        </w:tc>
        <w:tc>
          <w:tcPr>
            <w:tcW w:w="1382" w:type="dxa"/>
            <w:vAlign w:val="center"/>
          </w:tcPr>
          <w:p>
            <w:pPr>
              <w:widowControl/>
              <w:ind w:firstLine="0" w:firstLineChars="0"/>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268</w:t>
            </w:r>
          </w:p>
        </w:tc>
        <w:tc>
          <w:tcPr>
            <w:tcW w:w="1267" w:type="dxa"/>
            <w:vAlign w:val="center"/>
          </w:tcPr>
          <w:p>
            <w:pPr>
              <w:widowControl/>
              <w:ind w:firstLine="0" w:firstLineChars="0"/>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185</w:t>
            </w:r>
          </w:p>
        </w:tc>
        <w:tc>
          <w:tcPr>
            <w:tcW w:w="1500" w:type="dxa"/>
            <w:vAlign w:val="center"/>
          </w:tcPr>
          <w:p>
            <w:pPr>
              <w:widowControl/>
              <w:ind w:firstLine="0" w:firstLineChars="0"/>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803</w:t>
            </w:r>
          </w:p>
        </w:tc>
        <w:tc>
          <w:tcPr>
            <w:tcW w:w="1382" w:type="dxa"/>
            <w:vAlign w:val="center"/>
          </w:tcPr>
          <w:p>
            <w:pPr>
              <w:widowControl/>
              <w:ind w:firstLine="0" w:firstLineChars="0"/>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1256</w:t>
            </w:r>
          </w:p>
        </w:tc>
        <w:tc>
          <w:tcPr>
            <w:tcW w:w="1258" w:type="dxa"/>
            <w:vAlign w:val="center"/>
          </w:tcPr>
          <w:p>
            <w:pPr>
              <w:widowControl/>
              <w:ind w:firstLine="0" w:firstLineChars="0"/>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924" w:type="pct"/>
            <w:vAlign w:val="center"/>
          </w:tcPr>
          <w:p>
            <w:pPr>
              <w:widowControl/>
              <w:ind w:firstLine="0" w:firstLineChars="0"/>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91及以上</w:t>
            </w:r>
          </w:p>
        </w:tc>
        <w:tc>
          <w:tcPr>
            <w:tcW w:w="1382" w:type="dxa"/>
            <w:vAlign w:val="center"/>
          </w:tcPr>
          <w:p>
            <w:pPr>
              <w:widowControl/>
              <w:ind w:firstLine="0" w:firstLineChars="0"/>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239</w:t>
            </w:r>
          </w:p>
        </w:tc>
        <w:tc>
          <w:tcPr>
            <w:tcW w:w="1267" w:type="dxa"/>
            <w:vAlign w:val="center"/>
          </w:tcPr>
          <w:p>
            <w:pPr>
              <w:widowControl/>
              <w:ind w:firstLine="0" w:firstLineChars="0"/>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208</w:t>
            </w:r>
          </w:p>
        </w:tc>
        <w:tc>
          <w:tcPr>
            <w:tcW w:w="1500" w:type="dxa"/>
            <w:vAlign w:val="center"/>
          </w:tcPr>
          <w:p>
            <w:pPr>
              <w:widowControl/>
              <w:ind w:firstLine="0" w:firstLineChars="0"/>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259</w:t>
            </w:r>
          </w:p>
        </w:tc>
        <w:tc>
          <w:tcPr>
            <w:tcW w:w="1382" w:type="dxa"/>
            <w:vAlign w:val="center"/>
          </w:tcPr>
          <w:p>
            <w:pPr>
              <w:widowControl/>
              <w:ind w:firstLine="0" w:firstLineChars="0"/>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706</w:t>
            </w:r>
          </w:p>
        </w:tc>
        <w:tc>
          <w:tcPr>
            <w:tcW w:w="1258" w:type="dxa"/>
            <w:vAlign w:val="center"/>
          </w:tcPr>
          <w:p>
            <w:pPr>
              <w:widowControl/>
              <w:ind w:firstLine="0" w:firstLineChars="0"/>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7.31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924" w:type="pct"/>
            <w:vAlign w:val="center"/>
          </w:tcPr>
          <w:p>
            <w:pPr>
              <w:widowControl/>
              <w:ind w:firstLine="0" w:firstLineChars="0"/>
              <w:textAlignment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总计</w:t>
            </w:r>
          </w:p>
        </w:tc>
        <w:tc>
          <w:tcPr>
            <w:tcW w:w="1382" w:type="dxa"/>
            <w:vAlign w:val="center"/>
          </w:tcPr>
          <w:p>
            <w:pPr>
              <w:widowControl/>
              <w:ind w:firstLine="0" w:firstLineChars="0"/>
              <w:textAlignment w:val="center"/>
              <w:rPr>
                <w:rFonts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rPr>
              <w:t>1638</w:t>
            </w:r>
          </w:p>
        </w:tc>
        <w:tc>
          <w:tcPr>
            <w:tcW w:w="1267" w:type="dxa"/>
            <w:vAlign w:val="center"/>
          </w:tcPr>
          <w:p>
            <w:pPr>
              <w:widowControl/>
              <w:ind w:firstLine="0" w:firstLineChars="0"/>
              <w:textAlignment w:val="center"/>
              <w:rPr>
                <w:rFonts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rPr>
              <w:t>561</w:t>
            </w:r>
          </w:p>
        </w:tc>
        <w:tc>
          <w:tcPr>
            <w:tcW w:w="1500" w:type="dxa"/>
            <w:vAlign w:val="center"/>
          </w:tcPr>
          <w:p>
            <w:pPr>
              <w:widowControl/>
              <w:ind w:firstLine="0" w:firstLineChars="0"/>
              <w:textAlignment w:val="center"/>
              <w:rPr>
                <w:rFonts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rPr>
              <w:t>7463</w:t>
            </w:r>
          </w:p>
        </w:tc>
        <w:tc>
          <w:tcPr>
            <w:tcW w:w="1382" w:type="dxa"/>
            <w:vAlign w:val="center"/>
          </w:tcPr>
          <w:p>
            <w:pPr>
              <w:widowControl/>
              <w:ind w:firstLine="0" w:firstLineChars="0"/>
              <w:textAlignment w:val="center"/>
              <w:rPr>
                <w:rFonts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rPr>
              <w:t>9662</w:t>
            </w:r>
          </w:p>
        </w:tc>
        <w:tc>
          <w:tcPr>
            <w:tcW w:w="1258" w:type="dxa"/>
            <w:vAlign w:val="center"/>
          </w:tcPr>
          <w:p>
            <w:pPr>
              <w:widowControl/>
              <w:ind w:firstLine="0" w:firstLineChars="0"/>
              <w:textAlignment w:val="center"/>
              <w:rPr>
                <w:rFonts w:ascii="宋体" w:hAnsi="宋体" w:cs="宋体"/>
                <w:color w:val="auto"/>
                <w:kern w:val="0"/>
                <w:sz w:val="21"/>
                <w:szCs w:val="21"/>
                <w:highlight w:val="none"/>
                <w:lang w:bidi="ar"/>
              </w:rPr>
            </w:pPr>
            <w:r>
              <w:rPr>
                <w:rFonts w:hint="eastAsia" w:ascii="宋体" w:hAnsi="宋体" w:cs="宋体"/>
                <w:color w:val="auto"/>
                <w:kern w:val="0"/>
                <w:sz w:val="21"/>
                <w:szCs w:val="21"/>
                <w:highlight w:val="none"/>
              </w:rPr>
              <w:t>100</w:t>
            </w:r>
          </w:p>
        </w:tc>
      </w:tr>
    </w:tbl>
    <w:p>
      <w:pPr>
        <w:pStyle w:val="3"/>
        <w:spacing w:before="156" w:after="156"/>
        <w:rPr>
          <w:rFonts w:ascii="宋体" w:hAnsi="宋体" w:eastAsia="宋体" w:cs="宋体"/>
          <w:color w:val="auto"/>
          <w:szCs w:val="21"/>
          <w:highlight w:val="none"/>
        </w:rPr>
      </w:pPr>
      <w:bookmarkStart w:id="479" w:name="_Toc4983"/>
      <w:r>
        <w:rPr>
          <w:rFonts w:hint="eastAsia" w:ascii="宋体" w:hAnsi="宋体" w:eastAsia="宋体" w:cs="宋体"/>
          <w:color w:val="auto"/>
          <w:szCs w:val="21"/>
          <w:highlight w:val="none"/>
        </w:rPr>
        <w:t>21.实践教学及实习实训基地数</w:t>
      </w:r>
      <w:bookmarkEnd w:id="473"/>
      <w:bookmarkEnd w:id="474"/>
      <w:bookmarkEnd w:id="475"/>
      <w:bookmarkEnd w:id="476"/>
      <w:bookmarkEnd w:id="477"/>
      <w:bookmarkEnd w:id="478"/>
      <w:bookmarkEnd w:id="479"/>
    </w:p>
    <w:tbl>
      <w:tblPr>
        <w:tblStyle w:val="18"/>
        <w:tblW w:w="8387" w:type="dxa"/>
        <w:jc w:val="center"/>
        <w:tblLayout w:type="fixed"/>
        <w:tblCellMar>
          <w:top w:w="0" w:type="dxa"/>
          <w:left w:w="108" w:type="dxa"/>
          <w:bottom w:w="0" w:type="dxa"/>
          <w:right w:w="108" w:type="dxa"/>
        </w:tblCellMar>
      </w:tblPr>
      <w:tblGrid>
        <w:gridCol w:w="896"/>
        <w:gridCol w:w="1296"/>
        <w:gridCol w:w="4357"/>
        <w:gridCol w:w="1838"/>
      </w:tblGrid>
      <w:tr>
        <w:tblPrEx>
          <w:tblCellMar>
            <w:top w:w="0" w:type="dxa"/>
            <w:left w:w="108" w:type="dxa"/>
            <w:bottom w:w="0" w:type="dxa"/>
            <w:right w:w="108" w:type="dxa"/>
          </w:tblCellMar>
        </w:tblPrEx>
        <w:trPr>
          <w:trHeight w:val="405"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序号</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专业代码</w:t>
            </w:r>
          </w:p>
        </w:tc>
        <w:tc>
          <w:tcPr>
            <w:tcW w:w="43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专业名称</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实践教学及</w:t>
            </w:r>
          </w:p>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实习实训基地数</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0806</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朝鲜语</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8</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2</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0214</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地理信息科学</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18</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3</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1901</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电子商务</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19</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4</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2303</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动画</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64</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5</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1201</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法学</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59</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6</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1703</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高分子材料与工程</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3</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7</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2403</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文科综合-汉语言文学（师范）</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5</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8</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1406</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护理学（专升本）</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37</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9</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0706</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公共艺术</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38</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10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1903</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国际商务</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19</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11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0112</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汉语国际教育</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3</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12</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0101</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汉语言文学（师范）</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118</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13</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1401</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护理学</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34</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14</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0308</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环境工程</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18</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15</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0708</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环境设计</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30</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16</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0110</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会展经济与管理</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10</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17</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0401</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计算机科学与技术（师范）</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112</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18</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2701</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金融工程</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28</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19</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0902</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经济学</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22</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20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1305</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口腔医学</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21</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21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1301</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临床医学</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54</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22</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0901</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思想政治教育（师范）</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112</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23</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0805</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日语</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6</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24</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0405</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软件工程</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13</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25</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0904</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社会工作</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14</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26</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0304</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生物技术</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23</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27</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0306</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食品质量与安全</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5</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28</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1902</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市场营销（网络营销方向）</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19</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29</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0707</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视觉传达设计</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33</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30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0908</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行政管理</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7</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31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2211</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物联网工程</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13</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32</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1906</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物流管理</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17</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33</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0701</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美术学（师范）</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113</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34</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0611</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休闲体育</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12</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35</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2405</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文科综合-英语（师范）</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4</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36</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0801</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英语（师范）</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112</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37</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0803</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英语</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6</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38</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1702</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应用化学</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5</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39</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0808</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翻译</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5</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40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1501</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公共事业管理（卫生事业管理方向）</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34</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41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1506</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预防医学</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39</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42</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1204</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知识产权</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22</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43</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1704</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制药工程</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4</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44</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2305</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数字媒体艺术</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64</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bookmarkStart w:id="480" w:name="_Toc88219378"/>
            <w:bookmarkStart w:id="481" w:name="_Toc533613960"/>
            <w:bookmarkStart w:id="482" w:name="_Toc88218626"/>
            <w:bookmarkStart w:id="483" w:name="_Toc89702866"/>
            <w:r>
              <w:rPr>
                <w:rFonts w:hint="eastAsia" w:ascii="宋体" w:hAnsi="宋体" w:cs="宋体"/>
                <w:color w:val="auto"/>
                <w:sz w:val="21"/>
                <w:szCs w:val="21"/>
                <w:highlight w:val="none"/>
              </w:rPr>
              <w:t>45</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0402</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计算机科学与技术</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13</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46</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2208</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计算机科学与技术（金融信息服务方向）</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13</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47</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3001</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健康服务与管理</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32</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48</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2405</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理科综合-数学与应用数学（师范）</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4</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49</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0203</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物理学（师范）</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112</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50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0223</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物理学（复合教育技术学）（师范）</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112</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51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0207</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科学教育（师范）</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112</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52</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0301</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生物科学（师范）</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112</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53</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0201</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数学与应用数学（师范）</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112</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54</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3302</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工业设计</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4</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55</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0104</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历史学（师范）</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112</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56</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1701</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化学（师范）</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112</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57</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0601</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体育教育（师范）</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112</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58</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0612</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武术与民族传统体育（师范）</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112</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59</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2903</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音乐学（师范）</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112</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60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2904</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舞蹈学（师范）</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112</w:t>
            </w:r>
          </w:p>
        </w:tc>
      </w:tr>
      <w:tr>
        <w:tblPrEx>
          <w:tblCellMar>
            <w:top w:w="0" w:type="dxa"/>
            <w:left w:w="108" w:type="dxa"/>
            <w:bottom w:w="0" w:type="dxa"/>
            <w:right w:w="108" w:type="dxa"/>
          </w:tblCellMar>
        </w:tblPrEx>
        <w:trPr>
          <w:trHeight w:val="282" w:hRule="atLeast"/>
          <w:jc w:val="center"/>
        </w:trPr>
        <w:tc>
          <w:tcPr>
            <w:tcW w:w="896" w:type="dxa"/>
            <w:tcBorders>
              <w:top w:val="single" w:color="000000" w:sz="4" w:space="0"/>
              <w:left w:val="single" w:color="000000" w:sz="4" w:space="0"/>
              <w:bottom w:val="single" w:color="000000" w:sz="4" w:space="0"/>
              <w:right w:val="single" w:color="000000" w:sz="4" w:space="0"/>
            </w:tcBorders>
            <w:shd w:val="clear" w:color="auto" w:fill="FFFFFF"/>
            <w:noWrap/>
          </w:tcPr>
          <w:p>
            <w:pPr>
              <w:widowControl/>
              <w:spacing w:line="240" w:lineRule="auto"/>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61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2304</w:t>
            </w:r>
          </w:p>
        </w:tc>
        <w:tc>
          <w:tcPr>
            <w:tcW w:w="4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文化产业管理</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64</w:t>
            </w:r>
          </w:p>
        </w:tc>
      </w:tr>
    </w:tbl>
    <w:p>
      <w:pPr>
        <w:pStyle w:val="3"/>
        <w:spacing w:before="156" w:after="156"/>
        <w:rPr>
          <w:rFonts w:ascii="宋体" w:hAnsi="宋体" w:eastAsia="宋体" w:cs="宋体"/>
          <w:color w:val="auto"/>
          <w:szCs w:val="21"/>
          <w:highlight w:val="none"/>
        </w:rPr>
      </w:pPr>
      <w:bookmarkStart w:id="484" w:name="_Toc13297"/>
      <w:bookmarkStart w:id="485" w:name="_Toc25699"/>
      <w:bookmarkStart w:id="486" w:name="_Toc18336"/>
      <w:r>
        <w:rPr>
          <w:rFonts w:hint="eastAsia" w:ascii="宋体" w:hAnsi="宋体" w:eastAsia="宋体" w:cs="宋体"/>
          <w:color w:val="auto"/>
          <w:szCs w:val="21"/>
          <w:highlight w:val="none"/>
        </w:rPr>
        <w:t>22.本科生中具有海外学习经历的学生比例</w:t>
      </w:r>
      <w:bookmarkEnd w:id="480"/>
      <w:bookmarkEnd w:id="481"/>
      <w:bookmarkEnd w:id="482"/>
      <w:bookmarkEnd w:id="483"/>
      <w:bookmarkEnd w:id="484"/>
      <w:bookmarkEnd w:id="485"/>
      <w:bookmarkEnd w:id="486"/>
    </w:p>
    <w:tbl>
      <w:tblPr>
        <w:tblStyle w:val="18"/>
        <w:tblW w:w="488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41"/>
        <w:gridCol w:w="3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87"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当学年具有一个月以上海外学习经历的本科生数</w:t>
            </w:r>
          </w:p>
        </w:tc>
        <w:tc>
          <w:tcPr>
            <w:tcW w:w="1912"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3087" w:type="pct"/>
            <w:vAlign w:val="center"/>
          </w:tcPr>
          <w:p>
            <w:pPr>
              <w:widowControl/>
              <w:spacing w:line="360" w:lineRule="exact"/>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256</w:t>
            </w:r>
          </w:p>
        </w:tc>
        <w:tc>
          <w:tcPr>
            <w:tcW w:w="1912"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1.01%</w:t>
            </w:r>
          </w:p>
        </w:tc>
      </w:tr>
    </w:tbl>
    <w:p>
      <w:pPr>
        <w:pStyle w:val="3"/>
        <w:spacing w:before="156" w:after="156"/>
        <w:rPr>
          <w:rFonts w:ascii="宋体" w:hAnsi="宋体" w:eastAsia="宋体" w:cs="宋体"/>
          <w:color w:val="auto"/>
          <w:szCs w:val="21"/>
          <w:highlight w:val="none"/>
        </w:rPr>
      </w:pPr>
      <w:bookmarkStart w:id="487" w:name="_Toc19854"/>
      <w:bookmarkStart w:id="488" w:name="_Toc22540"/>
      <w:bookmarkStart w:id="489" w:name="_Toc88219379"/>
      <w:bookmarkStart w:id="490" w:name="_Toc22756"/>
      <w:bookmarkStart w:id="491" w:name="_Toc88218627"/>
      <w:bookmarkStart w:id="492" w:name="_Toc533613961"/>
      <w:bookmarkStart w:id="493" w:name="_Toc89702867"/>
      <w:r>
        <w:rPr>
          <w:rFonts w:hint="eastAsia" w:ascii="宋体" w:hAnsi="宋体" w:eastAsia="宋体" w:cs="宋体"/>
          <w:color w:val="auto"/>
          <w:szCs w:val="21"/>
          <w:highlight w:val="none"/>
        </w:rPr>
        <w:t>23. 202</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届本科生毕业率</w:t>
      </w:r>
      <w:bookmarkEnd w:id="487"/>
      <w:bookmarkEnd w:id="488"/>
      <w:bookmarkEnd w:id="489"/>
      <w:bookmarkEnd w:id="490"/>
      <w:bookmarkEnd w:id="491"/>
      <w:bookmarkEnd w:id="492"/>
      <w:bookmarkEnd w:id="493"/>
    </w:p>
    <w:tbl>
      <w:tblPr>
        <w:tblStyle w:val="18"/>
        <w:tblW w:w="4885" w:type="pct"/>
        <w:jc w:val="center"/>
        <w:tblLayout w:type="autofit"/>
        <w:tblCellMar>
          <w:top w:w="0" w:type="dxa"/>
          <w:left w:w="108" w:type="dxa"/>
          <w:bottom w:w="0" w:type="dxa"/>
          <w:right w:w="108" w:type="dxa"/>
        </w:tblCellMar>
      </w:tblPr>
      <w:tblGrid>
        <w:gridCol w:w="2943"/>
        <w:gridCol w:w="2618"/>
        <w:gridCol w:w="2765"/>
      </w:tblGrid>
      <w:tr>
        <w:tblPrEx>
          <w:tblCellMar>
            <w:top w:w="0" w:type="dxa"/>
            <w:left w:w="108" w:type="dxa"/>
            <w:bottom w:w="0" w:type="dxa"/>
            <w:right w:w="108" w:type="dxa"/>
          </w:tblCellMar>
        </w:tblPrEx>
        <w:trPr>
          <w:trHeight w:val="440" w:hRule="atLeast"/>
          <w:jc w:val="center"/>
        </w:trPr>
        <w:tc>
          <w:tcPr>
            <w:tcW w:w="1767" w:type="pct"/>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应届本科生数</w:t>
            </w:r>
          </w:p>
        </w:tc>
        <w:tc>
          <w:tcPr>
            <w:tcW w:w="1572" w:type="pct"/>
            <w:tcBorders>
              <w:top w:val="single" w:color="auto" w:sz="4" w:space="0"/>
              <w:left w:val="nil"/>
              <w:bottom w:val="single" w:color="auto" w:sz="4" w:space="0"/>
              <w:right w:val="single" w:color="auto" w:sz="4" w:space="0"/>
            </w:tcBorders>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毕业人数</w:t>
            </w:r>
          </w:p>
        </w:tc>
        <w:tc>
          <w:tcPr>
            <w:tcW w:w="1660" w:type="pct"/>
            <w:tcBorders>
              <w:top w:val="single" w:color="auto" w:sz="4" w:space="0"/>
              <w:left w:val="nil"/>
              <w:bottom w:val="single" w:color="auto" w:sz="4" w:space="0"/>
              <w:right w:val="single" w:color="auto" w:sz="4" w:space="0"/>
            </w:tcBorders>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毕业率（%）</w:t>
            </w:r>
          </w:p>
        </w:tc>
      </w:tr>
      <w:tr>
        <w:tblPrEx>
          <w:tblCellMar>
            <w:top w:w="0" w:type="dxa"/>
            <w:left w:w="108" w:type="dxa"/>
            <w:bottom w:w="0" w:type="dxa"/>
            <w:right w:w="108" w:type="dxa"/>
          </w:tblCellMar>
        </w:tblPrEx>
        <w:trPr>
          <w:trHeight w:val="490" w:hRule="atLeast"/>
          <w:jc w:val="center"/>
        </w:trPr>
        <w:tc>
          <w:tcPr>
            <w:tcW w:w="1767" w:type="pct"/>
            <w:tcBorders>
              <w:top w:val="nil"/>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5211</w:t>
            </w:r>
          </w:p>
        </w:tc>
        <w:tc>
          <w:tcPr>
            <w:tcW w:w="1572" w:type="pct"/>
            <w:tcBorders>
              <w:top w:val="nil"/>
              <w:left w:val="nil"/>
              <w:bottom w:val="single" w:color="auto" w:sz="4" w:space="0"/>
              <w:right w:val="single" w:color="auto" w:sz="4" w:space="0"/>
            </w:tcBorders>
            <w:vAlign w:val="center"/>
          </w:tcPr>
          <w:p>
            <w:pPr>
              <w:widowControl/>
              <w:spacing w:line="360" w:lineRule="exact"/>
              <w:ind w:firstLine="0" w:firstLineChars="0"/>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rPr>
              <w:t>51</w:t>
            </w:r>
            <w:r>
              <w:rPr>
                <w:rFonts w:hint="eastAsia" w:ascii="宋体" w:hAnsi="宋体" w:cs="宋体"/>
                <w:color w:val="auto"/>
                <w:kern w:val="0"/>
                <w:sz w:val="21"/>
                <w:szCs w:val="21"/>
                <w:highlight w:val="none"/>
                <w:lang w:val="en-US" w:eastAsia="zh-CN"/>
              </w:rPr>
              <w:t>84</w:t>
            </w:r>
          </w:p>
        </w:tc>
        <w:tc>
          <w:tcPr>
            <w:tcW w:w="1660" w:type="pct"/>
            <w:tcBorders>
              <w:top w:val="single" w:color="auto" w:sz="4" w:space="0"/>
              <w:left w:val="nil"/>
              <w:bottom w:val="single" w:color="auto" w:sz="4" w:space="0"/>
              <w:right w:val="single" w:color="auto" w:sz="4" w:space="0"/>
            </w:tcBorders>
            <w:vAlign w:val="center"/>
          </w:tcPr>
          <w:p>
            <w:pPr>
              <w:widowControl/>
              <w:spacing w:line="360" w:lineRule="exact"/>
              <w:ind w:firstLine="0" w:firstLineChars="0"/>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99.48%</w:t>
            </w:r>
          </w:p>
        </w:tc>
      </w:tr>
    </w:tbl>
    <w:p>
      <w:pPr>
        <w:pStyle w:val="3"/>
        <w:spacing w:before="156" w:after="156"/>
        <w:rPr>
          <w:rFonts w:ascii="宋体" w:hAnsi="宋体" w:eastAsia="宋体" w:cs="宋体"/>
          <w:color w:val="auto"/>
          <w:szCs w:val="21"/>
          <w:highlight w:val="none"/>
        </w:rPr>
      </w:pPr>
      <w:bookmarkStart w:id="494" w:name="_Toc32338"/>
      <w:bookmarkStart w:id="495" w:name="_Toc89702868"/>
      <w:bookmarkStart w:id="496" w:name="_Toc28405"/>
      <w:bookmarkStart w:id="497" w:name="_Toc533613962"/>
      <w:bookmarkStart w:id="498" w:name="_Toc88218628"/>
      <w:bookmarkStart w:id="499" w:name="_Toc19496"/>
      <w:bookmarkStart w:id="500" w:name="_Toc88219380"/>
      <w:r>
        <w:rPr>
          <w:rFonts w:hint="eastAsia" w:ascii="宋体" w:hAnsi="宋体" w:eastAsia="宋体" w:cs="宋体"/>
          <w:color w:val="auto"/>
          <w:szCs w:val="21"/>
          <w:highlight w:val="none"/>
        </w:rPr>
        <w:t>24. 202</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届本科生学位授予率</w:t>
      </w:r>
      <w:bookmarkEnd w:id="494"/>
      <w:bookmarkEnd w:id="495"/>
      <w:bookmarkEnd w:id="496"/>
      <w:bookmarkEnd w:id="497"/>
      <w:bookmarkEnd w:id="498"/>
      <w:bookmarkEnd w:id="499"/>
      <w:bookmarkEnd w:id="500"/>
    </w:p>
    <w:tbl>
      <w:tblPr>
        <w:tblStyle w:val="18"/>
        <w:tblW w:w="4885" w:type="pct"/>
        <w:jc w:val="center"/>
        <w:tblLayout w:type="autofit"/>
        <w:tblCellMar>
          <w:top w:w="0" w:type="dxa"/>
          <w:left w:w="108" w:type="dxa"/>
          <w:bottom w:w="0" w:type="dxa"/>
          <w:right w:w="108" w:type="dxa"/>
        </w:tblCellMar>
      </w:tblPr>
      <w:tblGrid>
        <w:gridCol w:w="3063"/>
        <w:gridCol w:w="2638"/>
        <w:gridCol w:w="2625"/>
      </w:tblGrid>
      <w:tr>
        <w:tblPrEx>
          <w:tblCellMar>
            <w:top w:w="0" w:type="dxa"/>
            <w:left w:w="108" w:type="dxa"/>
            <w:bottom w:w="0" w:type="dxa"/>
            <w:right w:w="108" w:type="dxa"/>
          </w:tblCellMar>
        </w:tblPrEx>
        <w:trPr>
          <w:trHeight w:val="410" w:hRule="atLeast"/>
          <w:jc w:val="center"/>
        </w:trPr>
        <w:tc>
          <w:tcPr>
            <w:tcW w:w="1839" w:type="pct"/>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应届本科生数</w:t>
            </w:r>
          </w:p>
        </w:tc>
        <w:tc>
          <w:tcPr>
            <w:tcW w:w="1584" w:type="pct"/>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授予学位人数</w:t>
            </w:r>
          </w:p>
        </w:tc>
        <w:tc>
          <w:tcPr>
            <w:tcW w:w="1576" w:type="pct"/>
            <w:tcBorders>
              <w:top w:val="single" w:color="auto" w:sz="4" w:space="0"/>
              <w:left w:val="nil"/>
              <w:bottom w:val="single" w:color="auto" w:sz="4" w:space="0"/>
              <w:right w:val="single" w:color="auto" w:sz="4" w:space="0"/>
            </w:tcBorders>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学位授予率（%）</w:t>
            </w:r>
          </w:p>
        </w:tc>
      </w:tr>
      <w:tr>
        <w:tblPrEx>
          <w:tblCellMar>
            <w:top w:w="0" w:type="dxa"/>
            <w:left w:w="108" w:type="dxa"/>
            <w:bottom w:w="0" w:type="dxa"/>
            <w:right w:w="108" w:type="dxa"/>
          </w:tblCellMar>
        </w:tblPrEx>
        <w:trPr>
          <w:trHeight w:val="445" w:hRule="atLeast"/>
          <w:jc w:val="center"/>
        </w:trPr>
        <w:tc>
          <w:tcPr>
            <w:tcW w:w="3063" w:type="dxa"/>
            <w:tcBorders>
              <w:top w:val="nil"/>
              <w:left w:val="single" w:color="auto" w:sz="4" w:space="0"/>
              <w:bottom w:val="single" w:color="auto" w:sz="4" w:space="0"/>
              <w:right w:val="single" w:color="auto" w:sz="4" w:space="0"/>
            </w:tcBorders>
            <w:vAlign w:val="bottom"/>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5211</w:t>
            </w:r>
          </w:p>
        </w:tc>
        <w:tc>
          <w:tcPr>
            <w:tcW w:w="263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51</w:t>
            </w:r>
            <w:r>
              <w:rPr>
                <w:rFonts w:hint="eastAsia" w:ascii="宋体" w:hAnsi="宋体" w:cs="宋体"/>
                <w:color w:val="auto"/>
                <w:kern w:val="0"/>
                <w:sz w:val="21"/>
                <w:szCs w:val="21"/>
                <w:highlight w:val="none"/>
                <w:lang w:val="en-US" w:eastAsia="zh-CN"/>
              </w:rPr>
              <w:t>84</w:t>
            </w:r>
          </w:p>
        </w:tc>
        <w:tc>
          <w:tcPr>
            <w:tcW w:w="2625" w:type="dxa"/>
            <w:tcBorders>
              <w:top w:val="nil"/>
              <w:left w:val="nil"/>
              <w:bottom w:val="single" w:color="auto" w:sz="4" w:space="0"/>
              <w:right w:val="single" w:color="auto" w:sz="4" w:space="0"/>
            </w:tcBorders>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99.48%</w:t>
            </w:r>
          </w:p>
        </w:tc>
      </w:tr>
    </w:tbl>
    <w:p>
      <w:pPr>
        <w:pStyle w:val="3"/>
        <w:spacing w:before="156" w:after="156"/>
        <w:rPr>
          <w:rFonts w:ascii="宋体" w:hAnsi="宋体" w:eastAsia="宋体" w:cs="宋体"/>
          <w:color w:val="auto"/>
          <w:szCs w:val="21"/>
          <w:highlight w:val="none"/>
        </w:rPr>
      </w:pPr>
      <w:bookmarkStart w:id="501" w:name="_Toc8614"/>
      <w:bookmarkStart w:id="502" w:name="_Toc15161"/>
      <w:bookmarkStart w:id="503" w:name="_Toc88219381"/>
      <w:bookmarkStart w:id="504" w:name="_Toc89702869"/>
      <w:bookmarkStart w:id="505" w:name="_Toc6886"/>
      <w:bookmarkStart w:id="506" w:name="_Toc88218629"/>
      <w:bookmarkStart w:id="507" w:name="_Toc533613965"/>
      <w:r>
        <w:rPr>
          <w:rFonts w:hint="eastAsia" w:ascii="宋体" w:hAnsi="宋体" w:eastAsia="宋体" w:cs="宋体"/>
          <w:color w:val="auto"/>
          <w:szCs w:val="21"/>
          <w:highlight w:val="none"/>
        </w:rPr>
        <w:t>25. 202</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届本科生初次就业率</w:t>
      </w:r>
      <w:bookmarkEnd w:id="501"/>
      <w:bookmarkEnd w:id="502"/>
      <w:bookmarkEnd w:id="503"/>
      <w:bookmarkEnd w:id="504"/>
      <w:bookmarkEnd w:id="505"/>
      <w:bookmarkEnd w:id="506"/>
    </w:p>
    <w:tbl>
      <w:tblPr>
        <w:tblStyle w:val="19"/>
        <w:tblW w:w="48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9"/>
        <w:gridCol w:w="2831"/>
        <w:gridCol w:w="2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49" w:type="dxa"/>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毕业人数</w:t>
            </w:r>
          </w:p>
        </w:tc>
        <w:tc>
          <w:tcPr>
            <w:tcW w:w="2841" w:type="dxa"/>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总就业人数</w:t>
            </w:r>
          </w:p>
        </w:tc>
        <w:tc>
          <w:tcPr>
            <w:tcW w:w="2705" w:type="dxa"/>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初次就业率（%）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49" w:type="dxa"/>
          </w:tcPr>
          <w:p>
            <w:pPr>
              <w:widowControl/>
              <w:spacing w:line="360" w:lineRule="exact"/>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5184</w:t>
            </w:r>
          </w:p>
        </w:tc>
        <w:tc>
          <w:tcPr>
            <w:tcW w:w="2841" w:type="dxa"/>
          </w:tcPr>
          <w:p>
            <w:pPr>
              <w:widowControl/>
              <w:spacing w:line="360" w:lineRule="exact"/>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4923</w:t>
            </w:r>
          </w:p>
        </w:tc>
        <w:tc>
          <w:tcPr>
            <w:tcW w:w="2705" w:type="dxa"/>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94.97%</w:t>
            </w:r>
          </w:p>
        </w:tc>
      </w:tr>
    </w:tbl>
    <w:p>
      <w:pPr>
        <w:pStyle w:val="3"/>
        <w:spacing w:before="156" w:after="156"/>
        <w:rPr>
          <w:rFonts w:ascii="宋体" w:hAnsi="宋体" w:eastAsia="宋体" w:cs="宋体"/>
          <w:color w:val="auto"/>
          <w:szCs w:val="21"/>
          <w:highlight w:val="none"/>
        </w:rPr>
      </w:pPr>
      <w:bookmarkStart w:id="508" w:name="_Toc533613963"/>
      <w:bookmarkStart w:id="509" w:name="_Toc12149"/>
      <w:bookmarkStart w:id="510" w:name="_Toc88219382"/>
      <w:bookmarkStart w:id="511" w:name="_Toc26091"/>
      <w:bookmarkStart w:id="512" w:name="_Toc88218630"/>
      <w:bookmarkStart w:id="513" w:name="_Toc389"/>
      <w:bookmarkStart w:id="514" w:name="_Toc89702870"/>
      <w:r>
        <w:rPr>
          <w:rFonts w:hint="eastAsia" w:ascii="宋体" w:hAnsi="宋体" w:eastAsia="宋体" w:cs="宋体"/>
          <w:color w:val="auto"/>
          <w:szCs w:val="21"/>
          <w:highlight w:val="none"/>
        </w:rPr>
        <w:t>26.</w:t>
      </w:r>
      <w:bookmarkEnd w:id="508"/>
      <w:r>
        <w:rPr>
          <w:rFonts w:hint="eastAsia" w:ascii="宋体" w:hAnsi="宋体" w:eastAsia="宋体" w:cs="宋体"/>
          <w:color w:val="auto"/>
          <w:szCs w:val="21"/>
          <w:highlight w:val="none"/>
        </w:rPr>
        <w:t>202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-202</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学年学生转专业人数比例</w:t>
      </w:r>
      <w:bookmarkEnd w:id="509"/>
      <w:bookmarkEnd w:id="510"/>
      <w:bookmarkEnd w:id="511"/>
      <w:bookmarkEnd w:id="512"/>
      <w:bookmarkEnd w:id="513"/>
      <w:bookmarkEnd w:id="514"/>
    </w:p>
    <w:tbl>
      <w:tblPr>
        <w:tblStyle w:val="18"/>
        <w:tblW w:w="48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4"/>
        <w:gridCol w:w="3136"/>
        <w:gridCol w:w="3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2982" w:type="pct"/>
            <w:gridSpan w:val="2"/>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在校本科生总数</w:t>
            </w:r>
          </w:p>
        </w:tc>
        <w:tc>
          <w:tcPr>
            <w:tcW w:w="2017"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25239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2982" w:type="pct"/>
            <w:gridSpan w:val="2"/>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本科生转专业总人数</w:t>
            </w:r>
          </w:p>
        </w:tc>
        <w:tc>
          <w:tcPr>
            <w:tcW w:w="2017"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2982" w:type="pct"/>
            <w:gridSpan w:val="2"/>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学生转专业人数占本科生总数比例（%）</w:t>
            </w:r>
          </w:p>
        </w:tc>
        <w:tc>
          <w:tcPr>
            <w:tcW w:w="2017"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085" w:type="pct"/>
            <w:vAlign w:val="center"/>
          </w:tcPr>
          <w:p>
            <w:pPr>
              <w:widowControl/>
              <w:spacing w:line="360" w:lineRule="exact"/>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转出人数比例</w:t>
            </w:r>
          </w:p>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排名前五的专业</w:t>
            </w:r>
          </w:p>
        </w:tc>
        <w:tc>
          <w:tcPr>
            <w:tcW w:w="3914" w:type="pct"/>
            <w:gridSpan w:val="2"/>
            <w:vAlign w:val="center"/>
          </w:tcPr>
          <w:p>
            <w:pPr>
              <w:widowControl/>
              <w:spacing w:line="300" w:lineRule="exact"/>
              <w:ind w:firstLine="0" w:firstLineChars="0"/>
              <w:jc w:val="left"/>
              <w:rPr>
                <w:rFonts w:hint="default" w:ascii="宋体" w:hAnsi="宋体" w:cs="宋体"/>
                <w:color w:val="auto"/>
                <w:kern w:val="0"/>
                <w:sz w:val="21"/>
                <w:szCs w:val="21"/>
                <w:highlight w:val="none"/>
                <w:lang w:val="en-US"/>
              </w:rPr>
            </w:pPr>
            <w:r>
              <w:rPr>
                <w:rFonts w:hint="eastAsia" w:ascii="宋体" w:hAnsi="宋体" w:cs="宋体"/>
                <w:color w:val="auto"/>
                <w:sz w:val="21"/>
                <w:szCs w:val="21"/>
                <w:highlight w:val="none"/>
              </w:rPr>
              <w:t>电子商务</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药学、护理学、学前教育（师范）、预防医学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085"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转入人数比例排名前五的专业</w:t>
            </w:r>
          </w:p>
        </w:tc>
        <w:tc>
          <w:tcPr>
            <w:tcW w:w="3914" w:type="pct"/>
            <w:gridSpan w:val="2"/>
            <w:vAlign w:val="center"/>
          </w:tcPr>
          <w:p>
            <w:pPr>
              <w:widowControl/>
              <w:spacing w:line="300" w:lineRule="exact"/>
              <w:ind w:firstLine="0" w:firstLineChars="0"/>
              <w:jc w:val="left"/>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小学教育（师范）</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生物科学（师范）、英语（经亨颐实验班）（师范）、临床医学、汉语言文学（经亨颐实验班）（师范）</w:t>
            </w:r>
          </w:p>
        </w:tc>
      </w:tr>
    </w:tbl>
    <w:p>
      <w:pPr>
        <w:pStyle w:val="3"/>
        <w:spacing w:before="156" w:after="156"/>
        <w:rPr>
          <w:rFonts w:ascii="宋体" w:hAnsi="宋体" w:eastAsia="宋体" w:cs="宋体"/>
          <w:color w:val="auto"/>
          <w:szCs w:val="21"/>
          <w:highlight w:val="none"/>
        </w:rPr>
      </w:pPr>
      <w:bookmarkStart w:id="515" w:name="_Toc88219383"/>
      <w:bookmarkStart w:id="516" w:name="_Toc18518"/>
      <w:bookmarkStart w:id="517" w:name="_Toc89702871"/>
      <w:bookmarkStart w:id="518" w:name="_Toc88218631"/>
      <w:bookmarkStart w:id="519" w:name="_Toc31827"/>
      <w:bookmarkStart w:id="520" w:name="_Toc12228"/>
      <w:r>
        <w:rPr>
          <w:rFonts w:hint="eastAsia" w:ascii="宋体" w:hAnsi="宋体" w:eastAsia="宋体" w:cs="宋体"/>
          <w:color w:val="auto"/>
          <w:szCs w:val="21"/>
          <w:highlight w:val="none"/>
        </w:rPr>
        <w:t>27.具有3个月以上国（境）外培训进修经历的教师数量及比例</w:t>
      </w:r>
      <w:bookmarkEnd w:id="507"/>
      <w:bookmarkEnd w:id="515"/>
      <w:bookmarkEnd w:id="516"/>
      <w:bookmarkEnd w:id="517"/>
      <w:bookmarkEnd w:id="518"/>
      <w:bookmarkEnd w:id="519"/>
      <w:bookmarkEnd w:id="520"/>
    </w:p>
    <w:tbl>
      <w:tblPr>
        <w:tblStyle w:val="18"/>
        <w:tblW w:w="48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82"/>
        <w:gridCol w:w="3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2953"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具有3个月以上国（境）外培训进修经历的教师数</w:t>
            </w:r>
          </w:p>
        </w:tc>
        <w:tc>
          <w:tcPr>
            <w:tcW w:w="2046"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占专任教师的比例（%）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953" w:type="pct"/>
            <w:vAlign w:val="center"/>
          </w:tcPr>
          <w:p>
            <w:pPr>
              <w:widowControl/>
              <w:spacing w:line="360" w:lineRule="exact"/>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898</w:t>
            </w:r>
          </w:p>
        </w:tc>
        <w:tc>
          <w:tcPr>
            <w:tcW w:w="2046" w:type="pct"/>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47.04</w:t>
            </w:r>
            <w:r>
              <w:rPr>
                <w:rFonts w:hint="eastAsia" w:ascii="宋体" w:hAnsi="宋体" w:cs="宋体"/>
                <w:color w:val="auto"/>
                <w:kern w:val="0"/>
                <w:sz w:val="21"/>
                <w:szCs w:val="21"/>
                <w:highlight w:val="none"/>
              </w:rPr>
              <w:t>%</w:t>
            </w:r>
          </w:p>
        </w:tc>
      </w:tr>
    </w:tbl>
    <w:p>
      <w:pPr>
        <w:pStyle w:val="3"/>
        <w:spacing w:before="156" w:after="156"/>
        <w:rPr>
          <w:rFonts w:ascii="宋体" w:hAnsi="宋体" w:eastAsia="宋体" w:cs="宋体"/>
          <w:color w:val="auto"/>
          <w:szCs w:val="21"/>
          <w:highlight w:val="none"/>
        </w:rPr>
      </w:pPr>
      <w:bookmarkStart w:id="521" w:name="_Toc89702872"/>
      <w:bookmarkStart w:id="522" w:name="_Toc23264"/>
      <w:bookmarkStart w:id="523" w:name="_Toc31010"/>
      <w:bookmarkStart w:id="524" w:name="_Toc15142"/>
      <w:bookmarkStart w:id="525" w:name="_Toc533613966"/>
      <w:bookmarkStart w:id="526" w:name="_Toc88219384"/>
      <w:bookmarkStart w:id="527" w:name="_Toc88218632"/>
      <w:r>
        <w:rPr>
          <w:rFonts w:hint="eastAsia" w:ascii="宋体" w:hAnsi="宋体" w:eastAsia="宋体" w:cs="宋体"/>
          <w:color w:val="auto"/>
          <w:szCs w:val="21"/>
          <w:highlight w:val="none"/>
        </w:rPr>
        <w:t>28.校外实习基地数</w:t>
      </w:r>
      <w:bookmarkEnd w:id="521"/>
      <w:bookmarkEnd w:id="522"/>
      <w:bookmarkEnd w:id="523"/>
      <w:bookmarkEnd w:id="524"/>
      <w:bookmarkEnd w:id="525"/>
      <w:bookmarkEnd w:id="526"/>
      <w:bookmarkEnd w:id="527"/>
    </w:p>
    <w:tbl>
      <w:tblPr>
        <w:tblStyle w:val="18"/>
        <w:tblW w:w="485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3996"/>
        <w:gridCol w:w="42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5" w:hRule="exact"/>
          <w:jc w:val="center"/>
        </w:trPr>
        <w:tc>
          <w:tcPr>
            <w:tcW w:w="2417" w:type="pct"/>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类别</w:t>
            </w:r>
          </w:p>
        </w:tc>
        <w:tc>
          <w:tcPr>
            <w:tcW w:w="2582" w:type="pct"/>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实习基地数量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0" w:hRule="exact"/>
          <w:jc w:val="center"/>
        </w:trPr>
        <w:tc>
          <w:tcPr>
            <w:tcW w:w="2417" w:type="pct"/>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师范类</w:t>
            </w:r>
          </w:p>
        </w:tc>
        <w:tc>
          <w:tcPr>
            <w:tcW w:w="2582" w:type="pct"/>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0" w:hRule="exact"/>
          <w:jc w:val="center"/>
        </w:trPr>
        <w:tc>
          <w:tcPr>
            <w:tcW w:w="2417" w:type="pct"/>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非师范类</w:t>
            </w:r>
          </w:p>
        </w:tc>
        <w:tc>
          <w:tcPr>
            <w:tcW w:w="2582" w:type="pct"/>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390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2417" w:type="pct"/>
            <w:tcBorders>
              <w:top w:val="single" w:color="auto" w:sz="4" w:space="0"/>
              <w:bottom w:val="single" w:color="auto" w:sz="8" w:space="0"/>
            </w:tcBorders>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总计</w:t>
            </w:r>
          </w:p>
        </w:tc>
        <w:tc>
          <w:tcPr>
            <w:tcW w:w="2582" w:type="pct"/>
            <w:tcBorders>
              <w:top w:val="single" w:color="auto" w:sz="4" w:space="0"/>
              <w:bottom w:val="single" w:color="auto" w:sz="8" w:space="0"/>
            </w:tcBorders>
            <w:vAlign w:val="center"/>
          </w:tcPr>
          <w:p>
            <w:pPr>
              <w:widowControl/>
              <w:spacing w:line="360" w:lineRule="exact"/>
              <w:ind w:firstLine="0" w:firstLineChars="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622</w:t>
            </w:r>
          </w:p>
        </w:tc>
      </w:tr>
    </w:tbl>
    <w:p>
      <w:pPr>
        <w:pStyle w:val="3"/>
        <w:spacing w:before="156" w:after="156"/>
        <w:rPr>
          <w:rFonts w:ascii="宋体" w:hAnsi="宋体" w:eastAsia="宋体" w:cs="宋体"/>
          <w:color w:val="auto"/>
          <w:szCs w:val="21"/>
          <w:highlight w:val="none"/>
        </w:rPr>
      </w:pPr>
      <w:bookmarkStart w:id="528" w:name="_Toc533613967"/>
      <w:bookmarkStart w:id="529" w:name="_Toc88219385"/>
      <w:bookmarkStart w:id="530" w:name="_Toc4593"/>
      <w:bookmarkStart w:id="531" w:name="_Toc13692"/>
      <w:bookmarkStart w:id="532" w:name="_Toc29028"/>
      <w:bookmarkStart w:id="533" w:name="_Toc88218633"/>
      <w:bookmarkStart w:id="534" w:name="_Toc89702873"/>
      <w:r>
        <w:rPr>
          <w:rFonts w:hint="eastAsia" w:ascii="宋体" w:hAnsi="宋体" w:eastAsia="宋体" w:cs="宋体"/>
          <w:color w:val="auto"/>
          <w:szCs w:val="21"/>
          <w:highlight w:val="none"/>
        </w:rPr>
        <w:t>29.设立行业（产业）学院名称及数量</w:t>
      </w:r>
      <w:bookmarkEnd w:id="528"/>
      <w:bookmarkEnd w:id="529"/>
      <w:bookmarkEnd w:id="530"/>
      <w:bookmarkEnd w:id="531"/>
      <w:bookmarkEnd w:id="532"/>
      <w:bookmarkEnd w:id="533"/>
      <w:bookmarkEnd w:id="534"/>
    </w:p>
    <w:tbl>
      <w:tblPr>
        <w:tblStyle w:val="18"/>
        <w:tblW w:w="484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3983"/>
        <w:gridCol w:w="428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2409" w:type="pct"/>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行业（产业）学院名称</w:t>
            </w:r>
          </w:p>
        </w:tc>
        <w:tc>
          <w:tcPr>
            <w:tcW w:w="2590" w:type="pct"/>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409" w:type="pct"/>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阿里巴巴商学院</w:t>
            </w:r>
          </w:p>
        </w:tc>
        <w:tc>
          <w:tcPr>
            <w:tcW w:w="2590" w:type="pct"/>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lang w:val="en-US" w:eastAsia="zh-CN"/>
              </w:rPr>
              <w:t>1</w:t>
            </w:r>
          </w:p>
        </w:tc>
      </w:tr>
    </w:tbl>
    <w:p>
      <w:pPr>
        <w:spacing w:before="312" w:beforeLines="100"/>
        <w:ind w:firstLine="0" w:firstLineChars="0"/>
        <w:jc w:val="center"/>
        <w:rPr>
          <w:rFonts w:ascii="宋体" w:hAnsi="宋体" w:cs="宋体"/>
          <w:color w:val="auto"/>
          <w:kern w:val="0"/>
          <w:sz w:val="21"/>
          <w:szCs w:val="21"/>
          <w:highlight w:val="none"/>
        </w:rPr>
      </w:pPr>
      <w:bookmarkStart w:id="535" w:name="_Hlk116379288"/>
      <w:r>
        <w:rPr>
          <w:rFonts w:hint="eastAsia" w:ascii="宋体" w:hAnsi="宋体" w:cs="宋体"/>
          <w:color w:val="auto"/>
          <w:kern w:val="0"/>
          <w:sz w:val="21"/>
          <w:szCs w:val="21"/>
          <w:highlight w:val="none"/>
        </w:rPr>
        <w:t>29-1当年新增产教融合培养人才项目名称及数量</w:t>
      </w:r>
    </w:p>
    <w:tbl>
      <w:tblPr>
        <w:tblStyle w:val="18"/>
        <w:tblW w:w="8391" w:type="dxa"/>
        <w:jc w:val="center"/>
        <w:tblLayout w:type="autofit"/>
        <w:tblCellMar>
          <w:top w:w="0" w:type="dxa"/>
          <w:left w:w="108" w:type="dxa"/>
          <w:bottom w:w="0" w:type="dxa"/>
          <w:right w:w="108" w:type="dxa"/>
        </w:tblCellMar>
      </w:tblPr>
      <w:tblGrid>
        <w:gridCol w:w="544"/>
        <w:gridCol w:w="4222"/>
        <w:gridCol w:w="2691"/>
        <w:gridCol w:w="934"/>
      </w:tblGrid>
      <w:tr>
        <w:tblPrEx>
          <w:tblCellMar>
            <w:top w:w="0" w:type="dxa"/>
            <w:left w:w="108" w:type="dxa"/>
            <w:bottom w:w="0" w:type="dxa"/>
            <w:right w:w="108" w:type="dxa"/>
          </w:tblCellMar>
        </w:tblPrEx>
        <w:trPr>
          <w:trHeight w:val="312"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序号</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项目名称</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项目类型</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lang w:bidi="ar"/>
              </w:rPr>
              <w:t>负责人</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1</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《量化投资与数据挖掘》线上线下混合教学项目</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教学内容和课程体系改革</w:t>
            </w:r>
          </w:p>
        </w:tc>
        <w:tc>
          <w:tcPr>
            <w:tcW w:w="9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黄越夏</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2</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数字+文化人才创新创业教育提升工程</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创新创业教育改革</w:t>
            </w:r>
          </w:p>
        </w:tc>
        <w:tc>
          <w:tcPr>
            <w:tcW w:w="9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周微微</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3</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本科院校创新创业教育课程体系研究</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创新创业教育改革</w:t>
            </w:r>
          </w:p>
        </w:tc>
        <w:tc>
          <w:tcPr>
            <w:tcW w:w="9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项贤钦</w:t>
            </w:r>
          </w:p>
        </w:tc>
      </w:tr>
      <w:tr>
        <w:tblPrEx>
          <w:tblCellMar>
            <w:top w:w="0" w:type="dxa"/>
            <w:left w:w="108" w:type="dxa"/>
            <w:bottom w:w="0" w:type="dxa"/>
            <w:right w:w="108" w:type="dxa"/>
          </w:tblCellMar>
        </w:tblPrEx>
        <w:trPr>
          <w:trHeight w:val="312"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4</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数字孪生图书馆在后疫情时代思政课教师“云培养”的作用研究</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师资培训</w:t>
            </w:r>
          </w:p>
        </w:tc>
        <w:tc>
          <w:tcPr>
            <w:tcW w:w="9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王觅</w:t>
            </w:r>
          </w:p>
        </w:tc>
      </w:tr>
      <w:tr>
        <w:tblPrEx>
          <w:tblCellMar>
            <w:top w:w="0" w:type="dxa"/>
            <w:left w:w="108" w:type="dxa"/>
            <w:bottom w:w="0" w:type="dxa"/>
            <w:right w:w="108" w:type="dxa"/>
          </w:tblCellMar>
        </w:tblPrEx>
        <w:trPr>
          <w:trHeight w:val="824"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5</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高质量教育体系视角下的高校智慧教室多元数据融合与应用研究</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创新创业教育改革</w:t>
            </w:r>
          </w:p>
        </w:tc>
        <w:tc>
          <w:tcPr>
            <w:tcW w:w="9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李炜</w:t>
            </w:r>
          </w:p>
        </w:tc>
      </w:tr>
      <w:tr>
        <w:tblPrEx>
          <w:tblCellMar>
            <w:top w:w="0" w:type="dxa"/>
            <w:left w:w="108" w:type="dxa"/>
            <w:bottom w:w="0" w:type="dxa"/>
            <w:right w:w="108" w:type="dxa"/>
          </w:tblCellMar>
        </w:tblPrEx>
        <w:trPr>
          <w:trHeight w:val="769"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6</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以增强现实AR技术为基础的护理学专业课程思政教学体系的设计与应用</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教学内容和课程体系改革</w:t>
            </w:r>
          </w:p>
        </w:tc>
        <w:tc>
          <w:tcPr>
            <w:tcW w:w="9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钱英</w:t>
            </w:r>
          </w:p>
        </w:tc>
      </w:tr>
      <w:tr>
        <w:tblPrEx>
          <w:tblCellMar>
            <w:top w:w="0" w:type="dxa"/>
            <w:left w:w="108" w:type="dxa"/>
            <w:bottom w:w="0" w:type="dxa"/>
            <w:right w:w="108" w:type="dxa"/>
          </w:tblCellMar>
        </w:tblPrEx>
        <w:trPr>
          <w:trHeight w:val="704"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7</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科技金融背景下的金融工程模块化实践教学基地建设</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实践条件和实践基地建设</w:t>
            </w:r>
          </w:p>
        </w:tc>
        <w:tc>
          <w:tcPr>
            <w:tcW w:w="9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项洁雯</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8</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虚拟仿真技术教育教学创新实践基地建设</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实践条件和实践基地建设</w:t>
            </w:r>
          </w:p>
        </w:tc>
        <w:tc>
          <w:tcPr>
            <w:tcW w:w="9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洪河条</w:t>
            </w:r>
          </w:p>
        </w:tc>
      </w:tr>
      <w:tr>
        <w:tblPrEx>
          <w:tblCellMar>
            <w:top w:w="0" w:type="dxa"/>
            <w:left w:w="108" w:type="dxa"/>
            <w:bottom w:w="0" w:type="dxa"/>
            <w:right w:w="108" w:type="dxa"/>
          </w:tblCellMar>
        </w:tblPrEx>
        <w:trPr>
          <w:trHeight w:val="664"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9</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医学生物化学与分子生物学虚拟仿真实验教学系统的建设</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实践条件和实践基地建设</w:t>
            </w:r>
          </w:p>
        </w:tc>
        <w:tc>
          <w:tcPr>
            <w:tcW w:w="9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王建秋</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10</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青少年脊柱侧弯家庭自主筛查系统研发</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新工科、新医科、新农科、新文科建设</w:t>
            </w:r>
          </w:p>
        </w:tc>
        <w:tc>
          <w:tcPr>
            <w:tcW w:w="9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詹强</w:t>
            </w:r>
          </w:p>
        </w:tc>
      </w:tr>
      <w:tr>
        <w:tblPrEx>
          <w:tblCellMar>
            <w:top w:w="0" w:type="dxa"/>
            <w:left w:w="108" w:type="dxa"/>
            <w:bottom w:w="0" w:type="dxa"/>
            <w:right w:w="108" w:type="dxa"/>
          </w:tblCellMar>
        </w:tblPrEx>
        <w:trPr>
          <w:trHeight w:val="312"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11</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营销大数据前沿理论与实战技能提升师资培训</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师资培训</w:t>
            </w:r>
          </w:p>
        </w:tc>
        <w:tc>
          <w:tcPr>
            <w:tcW w:w="9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范志刚</w:t>
            </w:r>
          </w:p>
        </w:tc>
      </w:tr>
      <w:tr>
        <w:tblPrEx>
          <w:tblCellMar>
            <w:top w:w="0" w:type="dxa"/>
            <w:left w:w="108" w:type="dxa"/>
            <w:bottom w:w="0" w:type="dxa"/>
            <w:right w:w="108" w:type="dxa"/>
          </w:tblCellMar>
        </w:tblPrEx>
        <w:trPr>
          <w:trHeight w:val="312"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12</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“互联网+”背景下继续教育网络教学与管理平台建设</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实践条件和实践基地建设</w:t>
            </w:r>
          </w:p>
        </w:tc>
        <w:tc>
          <w:tcPr>
            <w:tcW w:w="9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宁晨凯</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13</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新媒体信息时代新型高校体育教学改革研究</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教学内容和课程体系改革</w:t>
            </w:r>
          </w:p>
        </w:tc>
        <w:tc>
          <w:tcPr>
            <w:tcW w:w="9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高跃</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14</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融入虚拟仿真技术的STEM教学方法改革</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师资培训</w:t>
            </w:r>
          </w:p>
        </w:tc>
        <w:tc>
          <w:tcPr>
            <w:tcW w:w="9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李阳杰</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15</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数字经济背景下计算机类课程实践教学研究</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新工科、新医科、新农科、新文科建设</w:t>
            </w:r>
          </w:p>
        </w:tc>
        <w:tc>
          <w:tcPr>
            <w:tcW w:w="9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刘勇</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16</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网络直播营销课程建设与改革</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教学内容和课程体系改革</w:t>
            </w:r>
          </w:p>
        </w:tc>
        <w:tc>
          <w:tcPr>
            <w:tcW w:w="9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章剑林</w:t>
            </w:r>
          </w:p>
        </w:tc>
      </w:tr>
      <w:tr>
        <w:tblPrEx>
          <w:tblCellMar>
            <w:top w:w="0" w:type="dxa"/>
            <w:left w:w="108" w:type="dxa"/>
            <w:bottom w:w="0" w:type="dxa"/>
            <w:right w:w="108" w:type="dxa"/>
          </w:tblCellMar>
        </w:tblPrEx>
        <w:trPr>
          <w:trHeight w:val="557"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17</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基于网络虚拟化技术的计算机网络课程改革</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教学内容和课程体系改革</w:t>
            </w:r>
          </w:p>
        </w:tc>
        <w:tc>
          <w:tcPr>
            <w:tcW w:w="9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刘勇</w:t>
            </w:r>
          </w:p>
        </w:tc>
      </w:tr>
      <w:tr>
        <w:tblPrEx>
          <w:tblCellMar>
            <w:top w:w="0" w:type="dxa"/>
            <w:left w:w="108" w:type="dxa"/>
            <w:bottom w:w="0" w:type="dxa"/>
            <w:right w:w="108" w:type="dxa"/>
          </w:tblCellMar>
        </w:tblPrEx>
        <w:trPr>
          <w:trHeight w:val="629"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18</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城市湿地生态地理系统演替虚拟仿真实践基地建设</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实践条件和实践基地建设</w:t>
            </w:r>
          </w:p>
        </w:tc>
        <w:tc>
          <w:tcPr>
            <w:tcW w:w="9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张杭君</w:t>
            </w:r>
          </w:p>
        </w:tc>
      </w:tr>
      <w:tr>
        <w:tblPrEx>
          <w:tblCellMar>
            <w:top w:w="0" w:type="dxa"/>
            <w:left w:w="108" w:type="dxa"/>
            <w:bottom w:w="0" w:type="dxa"/>
            <w:right w:w="108" w:type="dxa"/>
          </w:tblCellMar>
        </w:tblPrEx>
        <w:trPr>
          <w:trHeight w:val="689"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19</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音乐与舞蹈专业本硕学位论文写作实践建设项目</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实践条件和实践基地建设</w:t>
            </w:r>
          </w:p>
        </w:tc>
        <w:tc>
          <w:tcPr>
            <w:tcW w:w="9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周振宇</w:t>
            </w:r>
          </w:p>
        </w:tc>
      </w:tr>
      <w:tr>
        <w:tblPrEx>
          <w:tblCellMar>
            <w:top w:w="0" w:type="dxa"/>
            <w:left w:w="108" w:type="dxa"/>
            <w:bottom w:w="0" w:type="dxa"/>
            <w:right w:w="108" w:type="dxa"/>
          </w:tblCellMar>
        </w:tblPrEx>
        <w:trPr>
          <w:trHeight w:val="312"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20</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老年智慧康养平台及其安全应急虚拟仿真系统的开发应用</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教学内容和课程体系改革</w:t>
            </w:r>
          </w:p>
        </w:tc>
        <w:tc>
          <w:tcPr>
            <w:tcW w:w="9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曹梅娟</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21</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基于校企合作的商务日语教学中跨文化交际能力的培养路径</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实践条件和实践基地建设</w:t>
            </w:r>
          </w:p>
        </w:tc>
        <w:tc>
          <w:tcPr>
            <w:tcW w:w="9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孙立春</w:t>
            </w:r>
          </w:p>
        </w:tc>
      </w:tr>
      <w:tr>
        <w:tblPrEx>
          <w:tblCellMar>
            <w:top w:w="0" w:type="dxa"/>
            <w:left w:w="108" w:type="dxa"/>
            <w:bottom w:w="0" w:type="dxa"/>
            <w:right w:w="108" w:type="dxa"/>
          </w:tblCellMar>
        </w:tblPrEx>
        <w:trPr>
          <w:trHeight w:val="644"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22</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基于OBE理念的多维度立体化青年教师教学能力培训体系建设</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师资培训</w:t>
            </w:r>
          </w:p>
        </w:tc>
        <w:tc>
          <w:tcPr>
            <w:tcW w:w="9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白彦</w:t>
            </w:r>
          </w:p>
        </w:tc>
      </w:tr>
      <w:tr>
        <w:tblPrEx>
          <w:tblCellMar>
            <w:top w:w="0" w:type="dxa"/>
            <w:left w:w="108" w:type="dxa"/>
            <w:bottom w:w="0" w:type="dxa"/>
            <w:right w:w="108" w:type="dxa"/>
          </w:tblCellMar>
        </w:tblPrEx>
        <w:trPr>
          <w:trHeight w:val="704"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23</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基于虚拟现实技术对心血管病介入诊疗之左心耳封堵术的教学资源开发与应用研究</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教学内容和课程体系改革</w:t>
            </w:r>
          </w:p>
        </w:tc>
        <w:tc>
          <w:tcPr>
            <w:tcW w:w="9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焦其彬</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24</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计算机类专业大数据课程建设与师资培训</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师资培训</w:t>
            </w:r>
          </w:p>
        </w:tc>
        <w:tc>
          <w:tcPr>
            <w:tcW w:w="9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周春儿</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25</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数字化教学场景下教师教育实践基地协同育人创新研究</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实践条件和实践基地建设</w:t>
            </w:r>
          </w:p>
        </w:tc>
        <w:tc>
          <w:tcPr>
            <w:tcW w:w="9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蔡云飞</w:t>
            </w:r>
          </w:p>
        </w:tc>
      </w:tr>
      <w:tr>
        <w:tblPrEx>
          <w:tblCellMar>
            <w:top w:w="0" w:type="dxa"/>
            <w:left w:w="108" w:type="dxa"/>
            <w:bottom w:w="0" w:type="dxa"/>
            <w:right w:w="108" w:type="dxa"/>
          </w:tblCellMar>
        </w:tblPrEx>
        <w:trPr>
          <w:trHeight w:val="487"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26</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基于大数据平台的精准教学模式研究</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创新创业教育改革</w:t>
            </w:r>
          </w:p>
        </w:tc>
        <w:tc>
          <w:tcPr>
            <w:tcW w:w="9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胡玥</w:t>
            </w:r>
          </w:p>
        </w:tc>
      </w:tr>
      <w:tr>
        <w:tblPrEx>
          <w:tblCellMar>
            <w:top w:w="0" w:type="dxa"/>
            <w:left w:w="108" w:type="dxa"/>
            <w:bottom w:w="0" w:type="dxa"/>
            <w:right w:w="108" w:type="dxa"/>
          </w:tblCellMar>
        </w:tblPrEx>
        <w:trPr>
          <w:trHeight w:val="532"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27</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智能物联网实践基地建设</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实践条件和实践基地建设</w:t>
            </w:r>
          </w:p>
        </w:tc>
        <w:tc>
          <w:tcPr>
            <w:tcW w:w="9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王奔</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28</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应用型大数据课程内容和教学体系建设</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教学内容和课程体系改革</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王奔</w:t>
            </w:r>
          </w:p>
        </w:tc>
      </w:tr>
      <w:tr>
        <w:tblPrEx>
          <w:tblCellMar>
            <w:top w:w="0" w:type="dxa"/>
            <w:left w:w="108" w:type="dxa"/>
            <w:bottom w:w="0" w:type="dxa"/>
            <w:right w:w="108" w:type="dxa"/>
          </w:tblCellMar>
        </w:tblPrEx>
        <w:trPr>
          <w:trHeight w:val="437"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29</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数学与应用数学专业教师技能提升</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师资培训</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虞旦盛</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30</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人工智能协同下的大学生创新创业教育模式研究</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创新创业教育改革</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王伟</w:t>
            </w:r>
          </w:p>
        </w:tc>
      </w:tr>
      <w:tr>
        <w:tblPrEx>
          <w:tblCellMar>
            <w:top w:w="0" w:type="dxa"/>
            <w:left w:w="108" w:type="dxa"/>
            <w:bottom w:w="0" w:type="dxa"/>
            <w:right w:w="108" w:type="dxa"/>
          </w:tblCellMar>
        </w:tblPrEx>
        <w:trPr>
          <w:trHeight w:val="312"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31</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基于超高速三维打印的智能产品创新设计师资团队建设</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师资培训</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陈嘉林</w:t>
            </w:r>
          </w:p>
        </w:tc>
      </w:tr>
      <w:tr>
        <w:tblPrEx>
          <w:tblCellMar>
            <w:top w:w="0" w:type="dxa"/>
            <w:left w:w="108" w:type="dxa"/>
            <w:bottom w:w="0" w:type="dxa"/>
            <w:right w:w="108" w:type="dxa"/>
          </w:tblCellMar>
        </w:tblPrEx>
        <w:trPr>
          <w:trHeight w:val="487"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32</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后疫情时代下产学研合作师资生态建设研究</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师资培训</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郭景华</w:t>
            </w:r>
          </w:p>
        </w:tc>
      </w:tr>
      <w:tr>
        <w:tblPrEx>
          <w:tblCellMar>
            <w:top w:w="0" w:type="dxa"/>
            <w:left w:w="108" w:type="dxa"/>
            <w:bottom w:w="0" w:type="dxa"/>
            <w:right w:w="108" w:type="dxa"/>
          </w:tblCellMar>
        </w:tblPrEx>
        <w:trPr>
          <w:trHeight w:val="312"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33</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针对l软件工程专业的深度学习实训实验室建设和改造</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实践条件和实践基地建设</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詹建国</w:t>
            </w:r>
          </w:p>
        </w:tc>
      </w:tr>
      <w:tr>
        <w:tblPrEx>
          <w:tblCellMar>
            <w:top w:w="0" w:type="dxa"/>
            <w:left w:w="108" w:type="dxa"/>
            <w:bottom w:w="0" w:type="dxa"/>
            <w:right w:w="108" w:type="dxa"/>
          </w:tblCellMar>
        </w:tblPrEx>
        <w:trPr>
          <w:trHeight w:val="312"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34</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基于 AI+IOT 的《算法设计与分析》新工科 课程体系研究与实践</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新工科、新医科、新农科、新文科建设</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刘复昌</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35</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基于深度学习技术的数字图像处理课程的改革与建设</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教学内容和课程体系改革</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冯阳</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36</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强化探究引导、过程全面把控——基于知网研学的研究生培养质量提升</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实践条件和实践基地建设</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徐利文</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37</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基于研究生教育质量动态监测体系下的导师导学质量提升工程</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师资培训</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徐利文</w:t>
            </w:r>
          </w:p>
        </w:tc>
      </w:tr>
      <w:tr>
        <w:tblPrEx>
          <w:tblCellMar>
            <w:top w:w="0" w:type="dxa"/>
            <w:left w:w="108" w:type="dxa"/>
            <w:bottom w:w="0" w:type="dxa"/>
            <w:right w:w="108" w:type="dxa"/>
          </w:tblCellMar>
        </w:tblPrEx>
        <w:trPr>
          <w:trHeight w:val="312"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38</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教育技术学专业“双师型”教师的培养路径探究</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师资培训</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邹菊梅</w:t>
            </w:r>
          </w:p>
        </w:tc>
      </w:tr>
      <w:tr>
        <w:tblPrEx>
          <w:tblCellMar>
            <w:top w:w="0" w:type="dxa"/>
            <w:left w:w="108" w:type="dxa"/>
            <w:bottom w:w="0" w:type="dxa"/>
            <w:right w:w="108" w:type="dxa"/>
          </w:tblCellMar>
        </w:tblPrEx>
        <w:trPr>
          <w:trHeight w:val="312"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39</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基于学生志愿者服务的思想政治实践育人研究</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实践条件和实践基地建设</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袁智杰</w:t>
            </w:r>
          </w:p>
        </w:tc>
      </w:tr>
      <w:tr>
        <w:tblPrEx>
          <w:tblCellMar>
            <w:top w:w="0" w:type="dxa"/>
            <w:left w:w="108" w:type="dxa"/>
            <w:bottom w:w="0" w:type="dxa"/>
            <w:right w:w="108" w:type="dxa"/>
          </w:tblCellMar>
        </w:tblPrEx>
        <w:trPr>
          <w:trHeight w:val="427"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40</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面向新商科的区块链原理与实践课程建设</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教学内容和课程体系改革</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佘莉</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41</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基于VR技术的幼儿园项目课程开发</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教学内容和课程体系改革</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张三花</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42</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新工科背景下“双师型”地理信息科学专业实践教学团队建设</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师资培训</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荆长伟</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43</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创新创业背景下的供应链金融教学改革</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教学内容和课程体系改革</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卢锐</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44</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职前教师数字素养能力提升培训</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师资培训</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赵玲莉</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bookmarkStart w:id="536" w:name="_Toc89702874"/>
            <w:bookmarkStart w:id="537" w:name="_Toc88218634"/>
            <w:bookmarkStart w:id="538" w:name="_Toc11064"/>
            <w:bookmarkStart w:id="539" w:name="_Toc20007"/>
            <w:bookmarkStart w:id="540" w:name="_Toc88219386"/>
            <w:bookmarkStart w:id="541" w:name="_Toc533613969"/>
            <w:r>
              <w:rPr>
                <w:rFonts w:hint="eastAsia" w:ascii="宋体" w:hAnsi="宋体" w:cs="宋体"/>
                <w:color w:val="auto"/>
                <w:kern w:val="0"/>
                <w:sz w:val="21"/>
                <w:szCs w:val="21"/>
                <w:highlight w:val="none"/>
                <w:lang w:val="en-US" w:eastAsia="zh-CN" w:bidi="ar"/>
              </w:rPr>
              <w:t>45</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高校教师数字化能力提升培训</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师资培训</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叶林</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46</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新高考改革背景下大学日语数字化教学模式的探索</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师资培训</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王琳</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47</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外语大班化教学中的现代教育技术提升培训</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师资培训</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姚婕</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48</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数字化教育背景下的外语视听说教学模式创新</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师资培训</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诸飞燕</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49</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基于PTA平台的《程序设计基础》课程编程思维教学探索与实践</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教学内容和课程体系改革</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单振宇</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50</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面向数字文化产业的数字媒体艺术专业校企协同建设</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实践条件和实践基地建设</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章瑞智</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51</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新时代高校体育“课程思政”育人体系构建及实践研究</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教学内容和课程体系改革</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潘明荣</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52</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面向乡村振兴的AI课程再开发及实践研究</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教学内容和课程体系改革</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赵博</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53</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基于虚拟仿真的左心耳封堵术的实验教学研究</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教学内容和课程体系改革</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王明伟</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54</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腹部微创外科联盟医院手术演示为主导开展腹部微创外科手术继教班探索与实践</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教学内容和课程体系改革</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潘志坚</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55</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人工智能与教育机器人师资培训</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师资培训</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陈兵</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56</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大学物理实验教学仪器的改进与创新设计</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创新创业教育改革</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杨旭昕</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57</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智慧物联人才“智慧心联”提升培训方案</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师资培训</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缪群芳</w:t>
            </w:r>
          </w:p>
        </w:tc>
      </w:tr>
      <w:tr>
        <w:tblPrEx>
          <w:tblCellMar>
            <w:top w:w="0" w:type="dxa"/>
            <w:left w:w="108" w:type="dxa"/>
            <w:bottom w:w="0" w:type="dxa"/>
            <w:right w:w="108" w:type="dxa"/>
          </w:tblCellMar>
        </w:tblPrEx>
        <w:trPr>
          <w:trHeight w:val="576" w:hRule="atLeast"/>
          <w:jc w:val="center"/>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58</w:t>
            </w:r>
          </w:p>
        </w:tc>
        <w:tc>
          <w:tcPr>
            <w:tcW w:w="4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酒店数字化运营与管理师资培训</w:t>
            </w:r>
          </w:p>
        </w:tc>
        <w:tc>
          <w:tcPr>
            <w:tcW w:w="2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师资培训</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宋体" w:hAnsi="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钱建伟</w:t>
            </w:r>
          </w:p>
        </w:tc>
      </w:tr>
      <w:bookmarkEnd w:id="535"/>
    </w:tbl>
    <w:p>
      <w:pPr>
        <w:pStyle w:val="3"/>
        <w:spacing w:before="156" w:after="156"/>
        <w:rPr>
          <w:rFonts w:ascii="宋体" w:hAnsi="宋体" w:eastAsia="宋体" w:cs="宋体"/>
          <w:color w:val="auto"/>
          <w:szCs w:val="21"/>
          <w:highlight w:val="none"/>
        </w:rPr>
      </w:pPr>
      <w:bookmarkStart w:id="542" w:name="_Toc22909"/>
      <w:r>
        <w:rPr>
          <w:rFonts w:hint="eastAsia" w:ascii="宋体" w:hAnsi="宋体" w:eastAsia="宋体" w:cs="宋体"/>
          <w:color w:val="auto"/>
          <w:szCs w:val="21"/>
          <w:highlight w:val="none"/>
        </w:rPr>
        <w:t>30.经批准的本科层次中外合作办学（联合培养）项目数及在籍学生数</w:t>
      </w:r>
      <w:bookmarkEnd w:id="536"/>
      <w:bookmarkEnd w:id="537"/>
      <w:bookmarkEnd w:id="538"/>
      <w:bookmarkEnd w:id="539"/>
      <w:bookmarkEnd w:id="540"/>
      <w:bookmarkEnd w:id="542"/>
    </w:p>
    <w:tbl>
      <w:tblPr>
        <w:tblStyle w:val="18"/>
        <w:tblW w:w="85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3400"/>
        <w:gridCol w:w="2835"/>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514" w:type="pct"/>
            <w:noWrap/>
            <w:vAlign w:val="center"/>
          </w:tcPr>
          <w:p>
            <w:pPr>
              <w:pStyle w:val="36"/>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项目数</w:t>
            </w:r>
          </w:p>
        </w:tc>
        <w:tc>
          <w:tcPr>
            <w:tcW w:w="1994" w:type="pct"/>
            <w:noWrap/>
            <w:vAlign w:val="center"/>
          </w:tcPr>
          <w:p>
            <w:pPr>
              <w:pStyle w:val="36"/>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项目名称</w:t>
            </w:r>
          </w:p>
        </w:tc>
        <w:tc>
          <w:tcPr>
            <w:tcW w:w="1662" w:type="pct"/>
            <w:noWrap/>
            <w:vAlign w:val="center"/>
          </w:tcPr>
          <w:p>
            <w:pPr>
              <w:pStyle w:val="36"/>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联合培养单位</w:t>
            </w:r>
          </w:p>
        </w:tc>
        <w:tc>
          <w:tcPr>
            <w:tcW w:w="828" w:type="pct"/>
            <w:noWrap/>
            <w:vAlign w:val="center"/>
          </w:tcPr>
          <w:p>
            <w:pPr>
              <w:pStyle w:val="36"/>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在籍学生数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514" w:type="pct"/>
            <w:noWrap/>
            <w:vAlign w:val="center"/>
          </w:tcPr>
          <w:p>
            <w:pPr>
              <w:pStyle w:val="36"/>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1</w:t>
            </w:r>
          </w:p>
        </w:tc>
        <w:tc>
          <w:tcPr>
            <w:tcW w:w="1994" w:type="pct"/>
            <w:noWrap/>
            <w:vAlign w:val="center"/>
          </w:tcPr>
          <w:p>
            <w:pPr>
              <w:pStyle w:val="36"/>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杭州师范大学哈尔科夫学院</w:t>
            </w:r>
          </w:p>
        </w:tc>
        <w:tc>
          <w:tcPr>
            <w:tcW w:w="1662" w:type="pct"/>
            <w:noWrap/>
            <w:vAlign w:val="center"/>
          </w:tcPr>
          <w:p>
            <w:pPr>
              <w:pStyle w:val="36"/>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乌克兰哈尔科夫国立大学</w:t>
            </w:r>
          </w:p>
        </w:tc>
        <w:tc>
          <w:tcPr>
            <w:tcW w:w="828" w:type="pct"/>
            <w:noWrap/>
            <w:vAlign w:val="center"/>
          </w:tcPr>
          <w:p>
            <w:pPr>
              <w:pStyle w:val="36"/>
              <w:spacing w:line="400" w:lineRule="exact"/>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399</w:t>
            </w:r>
          </w:p>
        </w:tc>
      </w:tr>
    </w:tbl>
    <w:p>
      <w:pPr>
        <w:pStyle w:val="3"/>
        <w:spacing w:before="156" w:after="156"/>
        <w:rPr>
          <w:rFonts w:ascii="宋体" w:hAnsi="宋体" w:eastAsia="宋体" w:cs="宋体"/>
          <w:color w:val="auto"/>
          <w:szCs w:val="21"/>
          <w:highlight w:val="none"/>
        </w:rPr>
      </w:pPr>
      <w:bookmarkStart w:id="543" w:name="_Toc1219"/>
      <w:bookmarkStart w:id="544" w:name="_Toc88219387"/>
      <w:bookmarkStart w:id="545" w:name="_Toc89702875"/>
      <w:bookmarkStart w:id="546" w:name="_Toc11508"/>
      <w:bookmarkStart w:id="547" w:name="_Toc16440"/>
      <w:bookmarkStart w:id="548" w:name="_Toc88218635"/>
      <w:r>
        <w:rPr>
          <w:rFonts w:hint="eastAsia" w:ascii="宋体" w:hAnsi="宋体" w:eastAsia="宋体" w:cs="宋体"/>
          <w:color w:val="auto"/>
          <w:szCs w:val="21"/>
          <w:highlight w:val="none"/>
        </w:rPr>
        <w:t>31.体质测试达标率</w:t>
      </w:r>
      <w:bookmarkEnd w:id="541"/>
      <w:bookmarkEnd w:id="543"/>
      <w:bookmarkEnd w:id="544"/>
      <w:bookmarkEnd w:id="545"/>
      <w:bookmarkEnd w:id="546"/>
      <w:bookmarkEnd w:id="547"/>
      <w:bookmarkEnd w:id="548"/>
    </w:p>
    <w:tbl>
      <w:tblPr>
        <w:tblStyle w:val="18"/>
        <w:tblW w:w="8489" w:type="dxa"/>
        <w:jc w:val="center"/>
        <w:tblLayout w:type="autofit"/>
        <w:tblCellMar>
          <w:top w:w="0" w:type="dxa"/>
          <w:left w:w="108" w:type="dxa"/>
          <w:bottom w:w="0" w:type="dxa"/>
          <w:right w:w="108" w:type="dxa"/>
        </w:tblCellMar>
      </w:tblPr>
      <w:tblGrid>
        <w:gridCol w:w="1512"/>
        <w:gridCol w:w="3037"/>
        <w:gridCol w:w="3940"/>
      </w:tblGrid>
      <w:tr>
        <w:tblPrEx>
          <w:tblCellMar>
            <w:top w:w="0" w:type="dxa"/>
            <w:left w:w="108" w:type="dxa"/>
            <w:bottom w:w="0" w:type="dxa"/>
            <w:right w:w="108" w:type="dxa"/>
          </w:tblCellMar>
        </w:tblPrEx>
        <w:trPr>
          <w:trHeight w:val="431" w:hRule="atLeast"/>
          <w:jc w:val="center"/>
        </w:trPr>
        <w:tc>
          <w:tcPr>
            <w:tcW w:w="890" w:type="pct"/>
            <w:tcBorders>
              <w:top w:val="single" w:color="auto" w:sz="4" w:space="0"/>
              <w:left w:val="single" w:color="auto" w:sz="4" w:space="0"/>
              <w:bottom w:val="single" w:color="auto" w:sz="4" w:space="0"/>
              <w:right w:val="single" w:color="auto" w:sz="4" w:space="0"/>
            </w:tcBorders>
            <w:vAlign w:val="center"/>
          </w:tcPr>
          <w:p>
            <w:pPr>
              <w:pStyle w:val="36"/>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测试人数</w:t>
            </w:r>
          </w:p>
        </w:tc>
        <w:tc>
          <w:tcPr>
            <w:tcW w:w="1788" w:type="pct"/>
            <w:tcBorders>
              <w:top w:val="single" w:color="auto" w:sz="4" w:space="0"/>
              <w:left w:val="nil"/>
              <w:bottom w:val="single" w:color="auto" w:sz="4" w:space="0"/>
              <w:right w:val="single" w:color="auto" w:sz="4" w:space="0"/>
            </w:tcBorders>
            <w:vAlign w:val="center"/>
          </w:tcPr>
          <w:p>
            <w:pPr>
              <w:pStyle w:val="36"/>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通过测试人数</w:t>
            </w:r>
          </w:p>
        </w:tc>
        <w:tc>
          <w:tcPr>
            <w:tcW w:w="2320" w:type="pct"/>
            <w:tcBorders>
              <w:top w:val="single" w:color="auto" w:sz="4" w:space="0"/>
              <w:left w:val="nil"/>
              <w:bottom w:val="single" w:color="auto" w:sz="4" w:space="0"/>
              <w:right w:val="single" w:color="auto" w:sz="4" w:space="0"/>
            </w:tcBorders>
            <w:noWrap/>
            <w:vAlign w:val="center"/>
          </w:tcPr>
          <w:p>
            <w:pPr>
              <w:pStyle w:val="36"/>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达标比率（%）</w:t>
            </w:r>
          </w:p>
        </w:tc>
      </w:tr>
      <w:tr>
        <w:tblPrEx>
          <w:tblCellMar>
            <w:top w:w="0" w:type="dxa"/>
            <w:left w:w="108" w:type="dxa"/>
            <w:bottom w:w="0" w:type="dxa"/>
            <w:right w:w="108" w:type="dxa"/>
          </w:tblCellMar>
        </w:tblPrEx>
        <w:trPr>
          <w:trHeight w:val="431" w:hRule="atLeast"/>
          <w:jc w:val="center"/>
        </w:trPr>
        <w:tc>
          <w:tcPr>
            <w:tcW w:w="890" w:type="pct"/>
            <w:tcBorders>
              <w:top w:val="single" w:color="auto" w:sz="4" w:space="0"/>
              <w:left w:val="single" w:color="auto" w:sz="4" w:space="0"/>
              <w:bottom w:val="single" w:color="auto" w:sz="4" w:space="0"/>
              <w:right w:val="single" w:color="auto" w:sz="4" w:space="0"/>
            </w:tcBorders>
            <w:vAlign w:val="center"/>
          </w:tcPr>
          <w:p>
            <w:pPr>
              <w:pStyle w:val="36"/>
              <w:spacing w:line="400" w:lineRule="exact"/>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19682</w:t>
            </w:r>
          </w:p>
        </w:tc>
        <w:tc>
          <w:tcPr>
            <w:tcW w:w="1788" w:type="pct"/>
            <w:tcBorders>
              <w:top w:val="nil"/>
              <w:left w:val="nil"/>
              <w:bottom w:val="single" w:color="auto" w:sz="4" w:space="0"/>
              <w:right w:val="single" w:color="auto" w:sz="4" w:space="0"/>
            </w:tcBorders>
            <w:vAlign w:val="center"/>
          </w:tcPr>
          <w:p>
            <w:pPr>
              <w:pStyle w:val="36"/>
              <w:spacing w:line="400" w:lineRule="exact"/>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19167</w:t>
            </w:r>
          </w:p>
        </w:tc>
        <w:tc>
          <w:tcPr>
            <w:tcW w:w="2320" w:type="pct"/>
            <w:tcBorders>
              <w:top w:val="single" w:color="auto" w:sz="4" w:space="0"/>
              <w:left w:val="nil"/>
              <w:bottom w:val="single" w:color="auto" w:sz="4" w:space="0"/>
              <w:right w:val="single" w:color="auto" w:sz="4" w:space="0"/>
            </w:tcBorders>
            <w:noWrap/>
            <w:vAlign w:val="center"/>
          </w:tcPr>
          <w:p>
            <w:pPr>
              <w:pStyle w:val="36"/>
              <w:spacing w:line="400" w:lineRule="exact"/>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97.38</w:t>
            </w:r>
          </w:p>
        </w:tc>
      </w:tr>
    </w:tbl>
    <w:p>
      <w:pPr>
        <w:ind w:firstLine="0" w:firstLineChars="0"/>
        <w:rPr>
          <w:color w:val="auto"/>
        </w:rPr>
      </w:pPr>
    </w:p>
    <w:sectPr>
      <w:headerReference r:id="rId13" w:type="default"/>
      <w:footerReference r:id="rId14"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20B06040202020202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jc w:val="center"/>
    </w:pPr>
    <w:r>
      <w:fldChar w:fldCharType="begin"/>
    </w:r>
    <w:r>
      <w:instrText xml:space="preserve"> PAGE   \* MERGEFORMAT </w:instrText>
    </w:r>
    <w:r>
      <w:fldChar w:fldCharType="separate"/>
    </w:r>
    <w:r>
      <w:rPr>
        <w:lang w:val="zh-CN"/>
      </w:rPr>
      <w:t>25</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0" w:firstLineChars="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5B2AE7"/>
    <w:multiLevelType w:val="singleLevel"/>
    <w:tmpl w:val="665B2AE7"/>
    <w:lvl w:ilvl="0" w:tentative="0">
      <w:start w:val="16"/>
      <w:numFmt w:val="decimal"/>
      <w:lvlText w:val="%1."/>
      <w:lvlJc w:val="left"/>
      <w:pPr>
        <w:tabs>
          <w:tab w:val="left" w:pos="312"/>
        </w:tabs>
      </w:pPr>
    </w:lvl>
  </w:abstractNum>
  <w:abstractNum w:abstractNumId="1">
    <w:nsid w:val="6F67CA2B"/>
    <w:multiLevelType w:val="singleLevel"/>
    <w:tmpl w:val="6F67CA2B"/>
    <w:lvl w:ilvl="0" w:tentative="0">
      <w:start w:val="20"/>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BmZDk0N2E4MWNkOTFiYjc0NjIzNmVjNmM5ZGIyMTcifQ=="/>
  </w:docVars>
  <w:rsids>
    <w:rsidRoot w:val="00172A27"/>
    <w:rsid w:val="00000C2D"/>
    <w:rsid w:val="0001278B"/>
    <w:rsid w:val="00014EF4"/>
    <w:rsid w:val="0001551B"/>
    <w:rsid w:val="000215C7"/>
    <w:rsid w:val="000218CB"/>
    <w:rsid w:val="00022755"/>
    <w:rsid w:val="00024444"/>
    <w:rsid w:val="000259A0"/>
    <w:rsid w:val="0002780A"/>
    <w:rsid w:val="00031187"/>
    <w:rsid w:val="00031AE5"/>
    <w:rsid w:val="00032460"/>
    <w:rsid w:val="00032B04"/>
    <w:rsid w:val="00042F70"/>
    <w:rsid w:val="00043589"/>
    <w:rsid w:val="0004396D"/>
    <w:rsid w:val="00044A79"/>
    <w:rsid w:val="00050D38"/>
    <w:rsid w:val="00050ED4"/>
    <w:rsid w:val="00055A2D"/>
    <w:rsid w:val="00060CCE"/>
    <w:rsid w:val="000613D7"/>
    <w:rsid w:val="00061412"/>
    <w:rsid w:val="00070B76"/>
    <w:rsid w:val="00071C56"/>
    <w:rsid w:val="000726C6"/>
    <w:rsid w:val="00072B0B"/>
    <w:rsid w:val="00076850"/>
    <w:rsid w:val="00085701"/>
    <w:rsid w:val="000879EB"/>
    <w:rsid w:val="00090040"/>
    <w:rsid w:val="00092C88"/>
    <w:rsid w:val="00096219"/>
    <w:rsid w:val="00096B3F"/>
    <w:rsid w:val="00097DEA"/>
    <w:rsid w:val="000A0FC3"/>
    <w:rsid w:val="000A1D0B"/>
    <w:rsid w:val="000A3073"/>
    <w:rsid w:val="000B1E0D"/>
    <w:rsid w:val="000C1A27"/>
    <w:rsid w:val="000C5074"/>
    <w:rsid w:val="000C57B0"/>
    <w:rsid w:val="000D0F79"/>
    <w:rsid w:val="000D2BE2"/>
    <w:rsid w:val="000D3081"/>
    <w:rsid w:val="000D332E"/>
    <w:rsid w:val="000D4B97"/>
    <w:rsid w:val="000D54CA"/>
    <w:rsid w:val="000D6732"/>
    <w:rsid w:val="000D6B1C"/>
    <w:rsid w:val="000E475B"/>
    <w:rsid w:val="000E57B9"/>
    <w:rsid w:val="000E5F3B"/>
    <w:rsid w:val="000E698E"/>
    <w:rsid w:val="000E69EF"/>
    <w:rsid w:val="000E7FB7"/>
    <w:rsid w:val="000F104E"/>
    <w:rsid w:val="000F3D8B"/>
    <w:rsid w:val="000F5000"/>
    <w:rsid w:val="000F518F"/>
    <w:rsid w:val="000F5A86"/>
    <w:rsid w:val="00102275"/>
    <w:rsid w:val="00105736"/>
    <w:rsid w:val="00113344"/>
    <w:rsid w:val="001133A8"/>
    <w:rsid w:val="00113E24"/>
    <w:rsid w:val="00125AA1"/>
    <w:rsid w:val="00125E95"/>
    <w:rsid w:val="00131FBB"/>
    <w:rsid w:val="0013495E"/>
    <w:rsid w:val="001361A3"/>
    <w:rsid w:val="00140706"/>
    <w:rsid w:val="00140815"/>
    <w:rsid w:val="001417A9"/>
    <w:rsid w:val="00141BC4"/>
    <w:rsid w:val="00143118"/>
    <w:rsid w:val="00147D24"/>
    <w:rsid w:val="00150F5F"/>
    <w:rsid w:val="00152AFF"/>
    <w:rsid w:val="00160E49"/>
    <w:rsid w:val="001611E3"/>
    <w:rsid w:val="00162AA7"/>
    <w:rsid w:val="00164A13"/>
    <w:rsid w:val="001665D3"/>
    <w:rsid w:val="001666F7"/>
    <w:rsid w:val="00171A99"/>
    <w:rsid w:val="00171A9F"/>
    <w:rsid w:val="00171C99"/>
    <w:rsid w:val="00172A27"/>
    <w:rsid w:val="00175C0D"/>
    <w:rsid w:val="001763EB"/>
    <w:rsid w:val="001804B2"/>
    <w:rsid w:val="00180C26"/>
    <w:rsid w:val="00181954"/>
    <w:rsid w:val="00182EC0"/>
    <w:rsid w:val="00185C5B"/>
    <w:rsid w:val="00186AE9"/>
    <w:rsid w:val="001876CC"/>
    <w:rsid w:val="0019085A"/>
    <w:rsid w:val="001932E0"/>
    <w:rsid w:val="00193FCD"/>
    <w:rsid w:val="00194183"/>
    <w:rsid w:val="00197E37"/>
    <w:rsid w:val="001A15A4"/>
    <w:rsid w:val="001B3DC9"/>
    <w:rsid w:val="001B50BD"/>
    <w:rsid w:val="001B7A01"/>
    <w:rsid w:val="001C058F"/>
    <w:rsid w:val="001C318C"/>
    <w:rsid w:val="001C332B"/>
    <w:rsid w:val="001D0B1C"/>
    <w:rsid w:val="001D2C56"/>
    <w:rsid w:val="001E268A"/>
    <w:rsid w:val="001E28B2"/>
    <w:rsid w:val="001E3719"/>
    <w:rsid w:val="001E5F1A"/>
    <w:rsid w:val="001F2434"/>
    <w:rsid w:val="001F2591"/>
    <w:rsid w:val="001F29BD"/>
    <w:rsid w:val="001F36DE"/>
    <w:rsid w:val="001F4987"/>
    <w:rsid w:val="00203246"/>
    <w:rsid w:val="002040DC"/>
    <w:rsid w:val="0020480E"/>
    <w:rsid w:val="00205B93"/>
    <w:rsid w:val="00205CD9"/>
    <w:rsid w:val="00205FF2"/>
    <w:rsid w:val="0020694A"/>
    <w:rsid w:val="002126FC"/>
    <w:rsid w:val="00213648"/>
    <w:rsid w:val="0021376E"/>
    <w:rsid w:val="00215588"/>
    <w:rsid w:val="00220749"/>
    <w:rsid w:val="00221465"/>
    <w:rsid w:val="00221C53"/>
    <w:rsid w:val="00222AF9"/>
    <w:rsid w:val="00224293"/>
    <w:rsid w:val="002310DD"/>
    <w:rsid w:val="002334E3"/>
    <w:rsid w:val="002352BD"/>
    <w:rsid w:val="00235899"/>
    <w:rsid w:val="00241F68"/>
    <w:rsid w:val="00241F86"/>
    <w:rsid w:val="00242F29"/>
    <w:rsid w:val="00244204"/>
    <w:rsid w:val="00247675"/>
    <w:rsid w:val="00247C70"/>
    <w:rsid w:val="0025396A"/>
    <w:rsid w:val="00254937"/>
    <w:rsid w:val="00254D14"/>
    <w:rsid w:val="002609E7"/>
    <w:rsid w:val="00264DF0"/>
    <w:rsid w:val="00265701"/>
    <w:rsid w:val="00270F65"/>
    <w:rsid w:val="00274F42"/>
    <w:rsid w:val="00275071"/>
    <w:rsid w:val="00283BF6"/>
    <w:rsid w:val="00291509"/>
    <w:rsid w:val="00294E1C"/>
    <w:rsid w:val="00295FC1"/>
    <w:rsid w:val="00296C6A"/>
    <w:rsid w:val="002A137B"/>
    <w:rsid w:val="002A2484"/>
    <w:rsid w:val="002A7BE1"/>
    <w:rsid w:val="002A7EC9"/>
    <w:rsid w:val="002B286F"/>
    <w:rsid w:val="002C0C30"/>
    <w:rsid w:val="002C15BB"/>
    <w:rsid w:val="002C21C8"/>
    <w:rsid w:val="002D31A2"/>
    <w:rsid w:val="002D3B59"/>
    <w:rsid w:val="002D5686"/>
    <w:rsid w:val="002D7B2B"/>
    <w:rsid w:val="002E4F66"/>
    <w:rsid w:val="002E526B"/>
    <w:rsid w:val="002E6677"/>
    <w:rsid w:val="002E7951"/>
    <w:rsid w:val="002F2AE8"/>
    <w:rsid w:val="002F38C7"/>
    <w:rsid w:val="00300D55"/>
    <w:rsid w:val="00303321"/>
    <w:rsid w:val="00303BD3"/>
    <w:rsid w:val="00305A52"/>
    <w:rsid w:val="0030792C"/>
    <w:rsid w:val="00310208"/>
    <w:rsid w:val="00310E09"/>
    <w:rsid w:val="00311C70"/>
    <w:rsid w:val="003128A6"/>
    <w:rsid w:val="003147A9"/>
    <w:rsid w:val="00315543"/>
    <w:rsid w:val="00315B1B"/>
    <w:rsid w:val="0031652B"/>
    <w:rsid w:val="003207CA"/>
    <w:rsid w:val="00321B3D"/>
    <w:rsid w:val="00323D47"/>
    <w:rsid w:val="00325E90"/>
    <w:rsid w:val="00327750"/>
    <w:rsid w:val="0033049D"/>
    <w:rsid w:val="003321AD"/>
    <w:rsid w:val="00334FDF"/>
    <w:rsid w:val="00350C30"/>
    <w:rsid w:val="00353264"/>
    <w:rsid w:val="00353E13"/>
    <w:rsid w:val="0036060C"/>
    <w:rsid w:val="00360ED1"/>
    <w:rsid w:val="00361BD6"/>
    <w:rsid w:val="00363926"/>
    <w:rsid w:val="00370E40"/>
    <w:rsid w:val="00371746"/>
    <w:rsid w:val="00376159"/>
    <w:rsid w:val="003762BD"/>
    <w:rsid w:val="00385218"/>
    <w:rsid w:val="0039141C"/>
    <w:rsid w:val="003914A7"/>
    <w:rsid w:val="003919B8"/>
    <w:rsid w:val="003928F6"/>
    <w:rsid w:val="00394C53"/>
    <w:rsid w:val="003966A9"/>
    <w:rsid w:val="003979B2"/>
    <w:rsid w:val="003A46A1"/>
    <w:rsid w:val="003A55F1"/>
    <w:rsid w:val="003A6CFA"/>
    <w:rsid w:val="003B4087"/>
    <w:rsid w:val="003B4098"/>
    <w:rsid w:val="003B40A9"/>
    <w:rsid w:val="003B4FB3"/>
    <w:rsid w:val="003B760F"/>
    <w:rsid w:val="003B7A11"/>
    <w:rsid w:val="003C0381"/>
    <w:rsid w:val="003C26B6"/>
    <w:rsid w:val="003C2AA4"/>
    <w:rsid w:val="003C2F0D"/>
    <w:rsid w:val="003D2197"/>
    <w:rsid w:val="003D2AA4"/>
    <w:rsid w:val="003D6493"/>
    <w:rsid w:val="003D68CF"/>
    <w:rsid w:val="003D7A7A"/>
    <w:rsid w:val="003E0079"/>
    <w:rsid w:val="003E0A14"/>
    <w:rsid w:val="003E3E64"/>
    <w:rsid w:val="003E7082"/>
    <w:rsid w:val="003F0F45"/>
    <w:rsid w:val="003F38DF"/>
    <w:rsid w:val="003F39BC"/>
    <w:rsid w:val="003F4600"/>
    <w:rsid w:val="003F4CDE"/>
    <w:rsid w:val="003F517C"/>
    <w:rsid w:val="003F6682"/>
    <w:rsid w:val="003F6EE0"/>
    <w:rsid w:val="003F7CA3"/>
    <w:rsid w:val="003F7FCC"/>
    <w:rsid w:val="00401476"/>
    <w:rsid w:val="004023E4"/>
    <w:rsid w:val="00404028"/>
    <w:rsid w:val="00406DBF"/>
    <w:rsid w:val="004076E7"/>
    <w:rsid w:val="00411488"/>
    <w:rsid w:val="00414231"/>
    <w:rsid w:val="004166B1"/>
    <w:rsid w:val="00423407"/>
    <w:rsid w:val="0042349E"/>
    <w:rsid w:val="004250DB"/>
    <w:rsid w:val="004264B9"/>
    <w:rsid w:val="00431B79"/>
    <w:rsid w:val="0043769F"/>
    <w:rsid w:val="00440085"/>
    <w:rsid w:val="004430E0"/>
    <w:rsid w:val="00444039"/>
    <w:rsid w:val="00445DC8"/>
    <w:rsid w:val="00447CCC"/>
    <w:rsid w:val="0045169E"/>
    <w:rsid w:val="00451E1B"/>
    <w:rsid w:val="0045248F"/>
    <w:rsid w:val="00453EE8"/>
    <w:rsid w:val="00454F60"/>
    <w:rsid w:val="004558AF"/>
    <w:rsid w:val="004575DC"/>
    <w:rsid w:val="004608A2"/>
    <w:rsid w:val="00461748"/>
    <w:rsid w:val="00461DEF"/>
    <w:rsid w:val="0046210C"/>
    <w:rsid w:val="00462259"/>
    <w:rsid w:val="00462C2F"/>
    <w:rsid w:val="00463961"/>
    <w:rsid w:val="00463CB1"/>
    <w:rsid w:val="00470AED"/>
    <w:rsid w:val="00470FCB"/>
    <w:rsid w:val="00474873"/>
    <w:rsid w:val="00474993"/>
    <w:rsid w:val="00474A8E"/>
    <w:rsid w:val="00474F71"/>
    <w:rsid w:val="00476FBC"/>
    <w:rsid w:val="004772E9"/>
    <w:rsid w:val="004774D4"/>
    <w:rsid w:val="00477C3D"/>
    <w:rsid w:val="00481B25"/>
    <w:rsid w:val="00486C8F"/>
    <w:rsid w:val="0048787A"/>
    <w:rsid w:val="00492E6B"/>
    <w:rsid w:val="00494B01"/>
    <w:rsid w:val="00497EAC"/>
    <w:rsid w:val="00497EE7"/>
    <w:rsid w:val="004A2EC6"/>
    <w:rsid w:val="004A7B3D"/>
    <w:rsid w:val="004B1B0D"/>
    <w:rsid w:val="004B28B5"/>
    <w:rsid w:val="004B2A45"/>
    <w:rsid w:val="004B4046"/>
    <w:rsid w:val="004B5439"/>
    <w:rsid w:val="004B731B"/>
    <w:rsid w:val="004B793B"/>
    <w:rsid w:val="004C4EB3"/>
    <w:rsid w:val="004C56A8"/>
    <w:rsid w:val="004C6875"/>
    <w:rsid w:val="004C79DF"/>
    <w:rsid w:val="004C7B7E"/>
    <w:rsid w:val="004D0AF0"/>
    <w:rsid w:val="004D34C6"/>
    <w:rsid w:val="004D7EAE"/>
    <w:rsid w:val="004E2D3C"/>
    <w:rsid w:val="004E7216"/>
    <w:rsid w:val="004E72AD"/>
    <w:rsid w:val="004F0667"/>
    <w:rsid w:val="004F09EB"/>
    <w:rsid w:val="004F148D"/>
    <w:rsid w:val="004F16EB"/>
    <w:rsid w:val="004F46FD"/>
    <w:rsid w:val="004F6CA4"/>
    <w:rsid w:val="0050374B"/>
    <w:rsid w:val="005068D7"/>
    <w:rsid w:val="00506CB4"/>
    <w:rsid w:val="00510C56"/>
    <w:rsid w:val="005124E3"/>
    <w:rsid w:val="00513B16"/>
    <w:rsid w:val="005152D4"/>
    <w:rsid w:val="00515BD5"/>
    <w:rsid w:val="005238F2"/>
    <w:rsid w:val="0052561E"/>
    <w:rsid w:val="005261AA"/>
    <w:rsid w:val="00527B41"/>
    <w:rsid w:val="00531B71"/>
    <w:rsid w:val="00536471"/>
    <w:rsid w:val="00536979"/>
    <w:rsid w:val="005370A1"/>
    <w:rsid w:val="00537356"/>
    <w:rsid w:val="005438A5"/>
    <w:rsid w:val="0054525E"/>
    <w:rsid w:val="00546890"/>
    <w:rsid w:val="00553ACA"/>
    <w:rsid w:val="0055529E"/>
    <w:rsid w:val="00555E8E"/>
    <w:rsid w:val="0055791E"/>
    <w:rsid w:val="005579D5"/>
    <w:rsid w:val="00561AB7"/>
    <w:rsid w:val="0056393D"/>
    <w:rsid w:val="00563DCF"/>
    <w:rsid w:val="0056707C"/>
    <w:rsid w:val="00573B92"/>
    <w:rsid w:val="00574C23"/>
    <w:rsid w:val="0057554E"/>
    <w:rsid w:val="0058256A"/>
    <w:rsid w:val="00582795"/>
    <w:rsid w:val="00594346"/>
    <w:rsid w:val="005969C9"/>
    <w:rsid w:val="00596A23"/>
    <w:rsid w:val="005A2BE2"/>
    <w:rsid w:val="005A48CA"/>
    <w:rsid w:val="005A7CED"/>
    <w:rsid w:val="005B1506"/>
    <w:rsid w:val="005B2A09"/>
    <w:rsid w:val="005B30BE"/>
    <w:rsid w:val="005B59BD"/>
    <w:rsid w:val="005B5F55"/>
    <w:rsid w:val="005B6E75"/>
    <w:rsid w:val="005C0AFA"/>
    <w:rsid w:val="005C63A4"/>
    <w:rsid w:val="005C647A"/>
    <w:rsid w:val="005D0A6F"/>
    <w:rsid w:val="005D6DEF"/>
    <w:rsid w:val="005E1120"/>
    <w:rsid w:val="005E23FD"/>
    <w:rsid w:val="005E3768"/>
    <w:rsid w:val="005E3C66"/>
    <w:rsid w:val="005E5D40"/>
    <w:rsid w:val="005E6D57"/>
    <w:rsid w:val="005F71F7"/>
    <w:rsid w:val="005F784F"/>
    <w:rsid w:val="00603B6D"/>
    <w:rsid w:val="0060607D"/>
    <w:rsid w:val="00606F91"/>
    <w:rsid w:val="00607394"/>
    <w:rsid w:val="00607A28"/>
    <w:rsid w:val="00615DF2"/>
    <w:rsid w:val="00616D5A"/>
    <w:rsid w:val="0061757A"/>
    <w:rsid w:val="00620D55"/>
    <w:rsid w:val="00620F0A"/>
    <w:rsid w:val="00623350"/>
    <w:rsid w:val="00625BF1"/>
    <w:rsid w:val="00626C4C"/>
    <w:rsid w:val="00626CD5"/>
    <w:rsid w:val="006305C7"/>
    <w:rsid w:val="00631B61"/>
    <w:rsid w:val="0063761B"/>
    <w:rsid w:val="00643565"/>
    <w:rsid w:val="00646A38"/>
    <w:rsid w:val="006506CE"/>
    <w:rsid w:val="00652409"/>
    <w:rsid w:val="00653022"/>
    <w:rsid w:val="0065489E"/>
    <w:rsid w:val="00654E49"/>
    <w:rsid w:val="00655114"/>
    <w:rsid w:val="006551A9"/>
    <w:rsid w:val="006552DB"/>
    <w:rsid w:val="00661E80"/>
    <w:rsid w:val="00665A25"/>
    <w:rsid w:val="006667AF"/>
    <w:rsid w:val="00667F22"/>
    <w:rsid w:val="00670F48"/>
    <w:rsid w:val="00672777"/>
    <w:rsid w:val="006756D8"/>
    <w:rsid w:val="00676BD8"/>
    <w:rsid w:val="00677167"/>
    <w:rsid w:val="0068492E"/>
    <w:rsid w:val="00686367"/>
    <w:rsid w:val="00690B36"/>
    <w:rsid w:val="00693889"/>
    <w:rsid w:val="006A01E5"/>
    <w:rsid w:val="006A06F1"/>
    <w:rsid w:val="006A0DEE"/>
    <w:rsid w:val="006A141E"/>
    <w:rsid w:val="006A1E6E"/>
    <w:rsid w:val="006A2BC6"/>
    <w:rsid w:val="006A2CAB"/>
    <w:rsid w:val="006A3D58"/>
    <w:rsid w:val="006A53CA"/>
    <w:rsid w:val="006A6DDA"/>
    <w:rsid w:val="006B2FA8"/>
    <w:rsid w:val="006B4410"/>
    <w:rsid w:val="006C4EAB"/>
    <w:rsid w:val="006C7057"/>
    <w:rsid w:val="006C750E"/>
    <w:rsid w:val="006D0150"/>
    <w:rsid w:val="006D2B8B"/>
    <w:rsid w:val="006D46A7"/>
    <w:rsid w:val="006D6C11"/>
    <w:rsid w:val="006E3219"/>
    <w:rsid w:val="006E3CA0"/>
    <w:rsid w:val="006F1DF7"/>
    <w:rsid w:val="006F46CD"/>
    <w:rsid w:val="006F5996"/>
    <w:rsid w:val="006F6376"/>
    <w:rsid w:val="007004FE"/>
    <w:rsid w:val="0070078C"/>
    <w:rsid w:val="007007A7"/>
    <w:rsid w:val="0070263E"/>
    <w:rsid w:val="00702CBD"/>
    <w:rsid w:val="00703509"/>
    <w:rsid w:val="0070691E"/>
    <w:rsid w:val="00711C9C"/>
    <w:rsid w:val="007125D0"/>
    <w:rsid w:val="007129AE"/>
    <w:rsid w:val="00714B7D"/>
    <w:rsid w:val="00717663"/>
    <w:rsid w:val="007176F0"/>
    <w:rsid w:val="00717B26"/>
    <w:rsid w:val="00725720"/>
    <w:rsid w:val="00726138"/>
    <w:rsid w:val="00730C0A"/>
    <w:rsid w:val="007356E6"/>
    <w:rsid w:val="00735C91"/>
    <w:rsid w:val="00735E1A"/>
    <w:rsid w:val="007362D2"/>
    <w:rsid w:val="00743A91"/>
    <w:rsid w:val="00760B84"/>
    <w:rsid w:val="0076116B"/>
    <w:rsid w:val="0076567A"/>
    <w:rsid w:val="007669C2"/>
    <w:rsid w:val="007675C4"/>
    <w:rsid w:val="007704C4"/>
    <w:rsid w:val="00773AC2"/>
    <w:rsid w:val="007775C9"/>
    <w:rsid w:val="00780519"/>
    <w:rsid w:val="00781EFF"/>
    <w:rsid w:val="0078421A"/>
    <w:rsid w:val="0079113E"/>
    <w:rsid w:val="00791C1C"/>
    <w:rsid w:val="00792F9C"/>
    <w:rsid w:val="007938ED"/>
    <w:rsid w:val="00793E5A"/>
    <w:rsid w:val="00794E6B"/>
    <w:rsid w:val="00795C9F"/>
    <w:rsid w:val="00797414"/>
    <w:rsid w:val="007976E5"/>
    <w:rsid w:val="007A1F3C"/>
    <w:rsid w:val="007B06E0"/>
    <w:rsid w:val="007B117A"/>
    <w:rsid w:val="007B2AE3"/>
    <w:rsid w:val="007B3340"/>
    <w:rsid w:val="007B33DD"/>
    <w:rsid w:val="007B4F0F"/>
    <w:rsid w:val="007B5CC8"/>
    <w:rsid w:val="007B7DAA"/>
    <w:rsid w:val="007C01BA"/>
    <w:rsid w:val="007C0B75"/>
    <w:rsid w:val="007D342A"/>
    <w:rsid w:val="007D3501"/>
    <w:rsid w:val="007D4827"/>
    <w:rsid w:val="007D4AE3"/>
    <w:rsid w:val="007D73D1"/>
    <w:rsid w:val="007E0968"/>
    <w:rsid w:val="007E4104"/>
    <w:rsid w:val="007F08FE"/>
    <w:rsid w:val="007F36BC"/>
    <w:rsid w:val="007F3F71"/>
    <w:rsid w:val="007F6E59"/>
    <w:rsid w:val="007F6EE8"/>
    <w:rsid w:val="008011C0"/>
    <w:rsid w:val="0080542E"/>
    <w:rsid w:val="00806208"/>
    <w:rsid w:val="00806B5B"/>
    <w:rsid w:val="0080738B"/>
    <w:rsid w:val="00807A4C"/>
    <w:rsid w:val="0081113F"/>
    <w:rsid w:val="0081166A"/>
    <w:rsid w:val="008133FC"/>
    <w:rsid w:val="00814697"/>
    <w:rsid w:val="0081598F"/>
    <w:rsid w:val="0081625F"/>
    <w:rsid w:val="00821910"/>
    <w:rsid w:val="0082239D"/>
    <w:rsid w:val="00822C7E"/>
    <w:rsid w:val="00825AE6"/>
    <w:rsid w:val="00827D79"/>
    <w:rsid w:val="00831248"/>
    <w:rsid w:val="00831780"/>
    <w:rsid w:val="00831A02"/>
    <w:rsid w:val="00836A4C"/>
    <w:rsid w:val="00841290"/>
    <w:rsid w:val="0084796D"/>
    <w:rsid w:val="008507D7"/>
    <w:rsid w:val="00852926"/>
    <w:rsid w:val="00853194"/>
    <w:rsid w:val="00853875"/>
    <w:rsid w:val="00861456"/>
    <w:rsid w:val="00861DE8"/>
    <w:rsid w:val="00862863"/>
    <w:rsid w:val="008633AA"/>
    <w:rsid w:val="008635E6"/>
    <w:rsid w:val="00864482"/>
    <w:rsid w:val="0086502E"/>
    <w:rsid w:val="008669B2"/>
    <w:rsid w:val="008708D1"/>
    <w:rsid w:val="008715B5"/>
    <w:rsid w:val="00871C76"/>
    <w:rsid w:val="008723B4"/>
    <w:rsid w:val="0087451D"/>
    <w:rsid w:val="00874E39"/>
    <w:rsid w:val="00875FAE"/>
    <w:rsid w:val="00876779"/>
    <w:rsid w:val="00876FFD"/>
    <w:rsid w:val="00881278"/>
    <w:rsid w:val="00883620"/>
    <w:rsid w:val="00883A70"/>
    <w:rsid w:val="00886CC9"/>
    <w:rsid w:val="00891591"/>
    <w:rsid w:val="00891F89"/>
    <w:rsid w:val="0089728E"/>
    <w:rsid w:val="008A00A6"/>
    <w:rsid w:val="008A1ADC"/>
    <w:rsid w:val="008A20E7"/>
    <w:rsid w:val="008A77BA"/>
    <w:rsid w:val="008B1BE1"/>
    <w:rsid w:val="008B375B"/>
    <w:rsid w:val="008B689B"/>
    <w:rsid w:val="008B7AD5"/>
    <w:rsid w:val="008C5B97"/>
    <w:rsid w:val="008C7E31"/>
    <w:rsid w:val="008D41D9"/>
    <w:rsid w:val="008D4419"/>
    <w:rsid w:val="008D5EB6"/>
    <w:rsid w:val="008E1C44"/>
    <w:rsid w:val="008E3218"/>
    <w:rsid w:val="008E6917"/>
    <w:rsid w:val="008F337F"/>
    <w:rsid w:val="008F33DB"/>
    <w:rsid w:val="008F6B7E"/>
    <w:rsid w:val="008F6D3B"/>
    <w:rsid w:val="008F7124"/>
    <w:rsid w:val="00900B4C"/>
    <w:rsid w:val="00901624"/>
    <w:rsid w:val="00901D02"/>
    <w:rsid w:val="00902B1A"/>
    <w:rsid w:val="00902B86"/>
    <w:rsid w:val="00905596"/>
    <w:rsid w:val="0091090D"/>
    <w:rsid w:val="009114F5"/>
    <w:rsid w:val="009118FF"/>
    <w:rsid w:val="00913AEB"/>
    <w:rsid w:val="009142F7"/>
    <w:rsid w:val="00914B7B"/>
    <w:rsid w:val="00915558"/>
    <w:rsid w:val="009162A9"/>
    <w:rsid w:val="00922D21"/>
    <w:rsid w:val="00923F63"/>
    <w:rsid w:val="0092509E"/>
    <w:rsid w:val="00930489"/>
    <w:rsid w:val="009305CD"/>
    <w:rsid w:val="00930BEA"/>
    <w:rsid w:val="00933E33"/>
    <w:rsid w:val="00940A7D"/>
    <w:rsid w:val="00945C58"/>
    <w:rsid w:val="00946FB0"/>
    <w:rsid w:val="009477B1"/>
    <w:rsid w:val="009515C9"/>
    <w:rsid w:val="00951BC7"/>
    <w:rsid w:val="00952006"/>
    <w:rsid w:val="00953C4C"/>
    <w:rsid w:val="00956739"/>
    <w:rsid w:val="0096032F"/>
    <w:rsid w:val="0096201D"/>
    <w:rsid w:val="00962D42"/>
    <w:rsid w:val="00962E1C"/>
    <w:rsid w:val="00963499"/>
    <w:rsid w:val="0096390A"/>
    <w:rsid w:val="00963931"/>
    <w:rsid w:val="0097356A"/>
    <w:rsid w:val="00980677"/>
    <w:rsid w:val="00982F64"/>
    <w:rsid w:val="00984C26"/>
    <w:rsid w:val="0098501D"/>
    <w:rsid w:val="00986555"/>
    <w:rsid w:val="00986656"/>
    <w:rsid w:val="00986B43"/>
    <w:rsid w:val="00993A5D"/>
    <w:rsid w:val="009A47F6"/>
    <w:rsid w:val="009A4CCE"/>
    <w:rsid w:val="009A5EBE"/>
    <w:rsid w:val="009A62B2"/>
    <w:rsid w:val="009B1395"/>
    <w:rsid w:val="009B4AA5"/>
    <w:rsid w:val="009B4DB7"/>
    <w:rsid w:val="009B6093"/>
    <w:rsid w:val="009B69CB"/>
    <w:rsid w:val="009C3220"/>
    <w:rsid w:val="009C3A25"/>
    <w:rsid w:val="009C5805"/>
    <w:rsid w:val="009C5F73"/>
    <w:rsid w:val="009D0BC9"/>
    <w:rsid w:val="009D1483"/>
    <w:rsid w:val="009D1F75"/>
    <w:rsid w:val="009D206F"/>
    <w:rsid w:val="009D57F9"/>
    <w:rsid w:val="009E164F"/>
    <w:rsid w:val="009E377D"/>
    <w:rsid w:val="009E3CA8"/>
    <w:rsid w:val="009E7C2B"/>
    <w:rsid w:val="009F124A"/>
    <w:rsid w:val="009F150F"/>
    <w:rsid w:val="009F290E"/>
    <w:rsid w:val="009F36FD"/>
    <w:rsid w:val="00A01FE7"/>
    <w:rsid w:val="00A021FB"/>
    <w:rsid w:val="00A02D2E"/>
    <w:rsid w:val="00A03C36"/>
    <w:rsid w:val="00A07861"/>
    <w:rsid w:val="00A1154B"/>
    <w:rsid w:val="00A13904"/>
    <w:rsid w:val="00A13E93"/>
    <w:rsid w:val="00A13FA3"/>
    <w:rsid w:val="00A14DC0"/>
    <w:rsid w:val="00A155C6"/>
    <w:rsid w:val="00A164A1"/>
    <w:rsid w:val="00A16E9A"/>
    <w:rsid w:val="00A202FC"/>
    <w:rsid w:val="00A23B05"/>
    <w:rsid w:val="00A26312"/>
    <w:rsid w:val="00A26347"/>
    <w:rsid w:val="00A3042A"/>
    <w:rsid w:val="00A3327F"/>
    <w:rsid w:val="00A372C6"/>
    <w:rsid w:val="00A4075C"/>
    <w:rsid w:val="00A43201"/>
    <w:rsid w:val="00A46558"/>
    <w:rsid w:val="00A46E75"/>
    <w:rsid w:val="00A4706F"/>
    <w:rsid w:val="00A505CD"/>
    <w:rsid w:val="00A514A4"/>
    <w:rsid w:val="00A54663"/>
    <w:rsid w:val="00A56449"/>
    <w:rsid w:val="00A578BB"/>
    <w:rsid w:val="00A61CC9"/>
    <w:rsid w:val="00A6478E"/>
    <w:rsid w:val="00A67A8C"/>
    <w:rsid w:val="00A73366"/>
    <w:rsid w:val="00A76605"/>
    <w:rsid w:val="00A80222"/>
    <w:rsid w:val="00A84828"/>
    <w:rsid w:val="00A8655B"/>
    <w:rsid w:val="00A867FD"/>
    <w:rsid w:val="00A87062"/>
    <w:rsid w:val="00A875BC"/>
    <w:rsid w:val="00A920B4"/>
    <w:rsid w:val="00A97B3E"/>
    <w:rsid w:val="00AA266F"/>
    <w:rsid w:val="00AA6369"/>
    <w:rsid w:val="00AA6B91"/>
    <w:rsid w:val="00AA6D76"/>
    <w:rsid w:val="00AB20C8"/>
    <w:rsid w:val="00AB5D90"/>
    <w:rsid w:val="00AB6AD2"/>
    <w:rsid w:val="00AB794D"/>
    <w:rsid w:val="00AB7A4A"/>
    <w:rsid w:val="00AC21C0"/>
    <w:rsid w:val="00AC2EA6"/>
    <w:rsid w:val="00AC5A57"/>
    <w:rsid w:val="00AC7426"/>
    <w:rsid w:val="00AD005D"/>
    <w:rsid w:val="00AD2C11"/>
    <w:rsid w:val="00AD2DBB"/>
    <w:rsid w:val="00AD35C7"/>
    <w:rsid w:val="00AD6BE1"/>
    <w:rsid w:val="00AE118E"/>
    <w:rsid w:val="00AE3C0B"/>
    <w:rsid w:val="00AE4EC6"/>
    <w:rsid w:val="00AE4FEB"/>
    <w:rsid w:val="00AE6988"/>
    <w:rsid w:val="00AF072A"/>
    <w:rsid w:val="00AF0DB6"/>
    <w:rsid w:val="00AF1439"/>
    <w:rsid w:val="00AF28F4"/>
    <w:rsid w:val="00AF612C"/>
    <w:rsid w:val="00AF6169"/>
    <w:rsid w:val="00AF6851"/>
    <w:rsid w:val="00B00636"/>
    <w:rsid w:val="00B01CEF"/>
    <w:rsid w:val="00B02B4D"/>
    <w:rsid w:val="00B03451"/>
    <w:rsid w:val="00B03E06"/>
    <w:rsid w:val="00B046F8"/>
    <w:rsid w:val="00B10162"/>
    <w:rsid w:val="00B1439E"/>
    <w:rsid w:val="00B172EA"/>
    <w:rsid w:val="00B22AE3"/>
    <w:rsid w:val="00B234AE"/>
    <w:rsid w:val="00B24401"/>
    <w:rsid w:val="00B244CC"/>
    <w:rsid w:val="00B24D0E"/>
    <w:rsid w:val="00B25BBA"/>
    <w:rsid w:val="00B3249A"/>
    <w:rsid w:val="00B3737F"/>
    <w:rsid w:val="00B37D8F"/>
    <w:rsid w:val="00B41556"/>
    <w:rsid w:val="00B41D33"/>
    <w:rsid w:val="00B42194"/>
    <w:rsid w:val="00B4451D"/>
    <w:rsid w:val="00B45ED1"/>
    <w:rsid w:val="00B45F95"/>
    <w:rsid w:val="00B46FE7"/>
    <w:rsid w:val="00B479DF"/>
    <w:rsid w:val="00B50696"/>
    <w:rsid w:val="00B50871"/>
    <w:rsid w:val="00B52B29"/>
    <w:rsid w:val="00B569F7"/>
    <w:rsid w:val="00B57CA3"/>
    <w:rsid w:val="00B61918"/>
    <w:rsid w:val="00B653C2"/>
    <w:rsid w:val="00B655C5"/>
    <w:rsid w:val="00B67969"/>
    <w:rsid w:val="00B702F6"/>
    <w:rsid w:val="00B71DFD"/>
    <w:rsid w:val="00B75968"/>
    <w:rsid w:val="00B85D11"/>
    <w:rsid w:val="00B95DF1"/>
    <w:rsid w:val="00B96539"/>
    <w:rsid w:val="00BA1D64"/>
    <w:rsid w:val="00BA3E31"/>
    <w:rsid w:val="00BA5D8D"/>
    <w:rsid w:val="00BB2254"/>
    <w:rsid w:val="00BB27C4"/>
    <w:rsid w:val="00BB3841"/>
    <w:rsid w:val="00BB44C2"/>
    <w:rsid w:val="00BC02E6"/>
    <w:rsid w:val="00BC318B"/>
    <w:rsid w:val="00BC3B4C"/>
    <w:rsid w:val="00BC3C8E"/>
    <w:rsid w:val="00BC41C3"/>
    <w:rsid w:val="00BC5520"/>
    <w:rsid w:val="00BD04FC"/>
    <w:rsid w:val="00BD379D"/>
    <w:rsid w:val="00BD3B73"/>
    <w:rsid w:val="00BD3E2B"/>
    <w:rsid w:val="00BE00A7"/>
    <w:rsid w:val="00BE50E9"/>
    <w:rsid w:val="00BE59BE"/>
    <w:rsid w:val="00BE62B1"/>
    <w:rsid w:val="00BF04A7"/>
    <w:rsid w:val="00BF1D2D"/>
    <w:rsid w:val="00BF2901"/>
    <w:rsid w:val="00BF6315"/>
    <w:rsid w:val="00BF6343"/>
    <w:rsid w:val="00BF736D"/>
    <w:rsid w:val="00C075F0"/>
    <w:rsid w:val="00C07C8D"/>
    <w:rsid w:val="00C07E02"/>
    <w:rsid w:val="00C106F7"/>
    <w:rsid w:val="00C12116"/>
    <w:rsid w:val="00C140C1"/>
    <w:rsid w:val="00C152E3"/>
    <w:rsid w:val="00C15BC2"/>
    <w:rsid w:val="00C20227"/>
    <w:rsid w:val="00C21541"/>
    <w:rsid w:val="00C22692"/>
    <w:rsid w:val="00C23A88"/>
    <w:rsid w:val="00C23DBA"/>
    <w:rsid w:val="00C24199"/>
    <w:rsid w:val="00C27702"/>
    <w:rsid w:val="00C30DEF"/>
    <w:rsid w:val="00C3105A"/>
    <w:rsid w:val="00C32D59"/>
    <w:rsid w:val="00C37AAF"/>
    <w:rsid w:val="00C41F9C"/>
    <w:rsid w:val="00C4614E"/>
    <w:rsid w:val="00C46229"/>
    <w:rsid w:val="00C50DE8"/>
    <w:rsid w:val="00C51818"/>
    <w:rsid w:val="00C53C71"/>
    <w:rsid w:val="00C55D63"/>
    <w:rsid w:val="00C56943"/>
    <w:rsid w:val="00C60151"/>
    <w:rsid w:val="00C60AA1"/>
    <w:rsid w:val="00C60DC5"/>
    <w:rsid w:val="00C62A70"/>
    <w:rsid w:val="00C6494F"/>
    <w:rsid w:val="00C656BA"/>
    <w:rsid w:val="00C7428A"/>
    <w:rsid w:val="00C744AA"/>
    <w:rsid w:val="00C7589A"/>
    <w:rsid w:val="00C8190A"/>
    <w:rsid w:val="00C82FAE"/>
    <w:rsid w:val="00C83AE0"/>
    <w:rsid w:val="00C8503E"/>
    <w:rsid w:val="00C85EC8"/>
    <w:rsid w:val="00C861C4"/>
    <w:rsid w:val="00C922B1"/>
    <w:rsid w:val="00C92B09"/>
    <w:rsid w:val="00C9350C"/>
    <w:rsid w:val="00C93F3F"/>
    <w:rsid w:val="00CA1145"/>
    <w:rsid w:val="00CA438F"/>
    <w:rsid w:val="00CA5D8C"/>
    <w:rsid w:val="00CA637E"/>
    <w:rsid w:val="00CB3ED3"/>
    <w:rsid w:val="00CC12A0"/>
    <w:rsid w:val="00CC20DE"/>
    <w:rsid w:val="00CC2A16"/>
    <w:rsid w:val="00CC707E"/>
    <w:rsid w:val="00CC7946"/>
    <w:rsid w:val="00CD0042"/>
    <w:rsid w:val="00CD3F8E"/>
    <w:rsid w:val="00CD5B4F"/>
    <w:rsid w:val="00CD5FF5"/>
    <w:rsid w:val="00CD639B"/>
    <w:rsid w:val="00CD67DD"/>
    <w:rsid w:val="00CD6DEE"/>
    <w:rsid w:val="00CD71AF"/>
    <w:rsid w:val="00CD7218"/>
    <w:rsid w:val="00CE1832"/>
    <w:rsid w:val="00CE34E9"/>
    <w:rsid w:val="00CE59FE"/>
    <w:rsid w:val="00CE5BA2"/>
    <w:rsid w:val="00CE65B4"/>
    <w:rsid w:val="00CE70CE"/>
    <w:rsid w:val="00CF07EA"/>
    <w:rsid w:val="00CF249A"/>
    <w:rsid w:val="00D003D7"/>
    <w:rsid w:val="00D05DCE"/>
    <w:rsid w:val="00D12958"/>
    <w:rsid w:val="00D143CB"/>
    <w:rsid w:val="00D145FA"/>
    <w:rsid w:val="00D14EC7"/>
    <w:rsid w:val="00D15BD9"/>
    <w:rsid w:val="00D17023"/>
    <w:rsid w:val="00D229E6"/>
    <w:rsid w:val="00D2424B"/>
    <w:rsid w:val="00D27777"/>
    <w:rsid w:val="00D30FB4"/>
    <w:rsid w:val="00D31A1C"/>
    <w:rsid w:val="00D3425B"/>
    <w:rsid w:val="00D34D54"/>
    <w:rsid w:val="00D35746"/>
    <w:rsid w:val="00D42CC3"/>
    <w:rsid w:val="00D45E0A"/>
    <w:rsid w:val="00D47D31"/>
    <w:rsid w:val="00D508A6"/>
    <w:rsid w:val="00D513AD"/>
    <w:rsid w:val="00D52239"/>
    <w:rsid w:val="00D52878"/>
    <w:rsid w:val="00D553E9"/>
    <w:rsid w:val="00D56A51"/>
    <w:rsid w:val="00D56E71"/>
    <w:rsid w:val="00D62360"/>
    <w:rsid w:val="00D62F51"/>
    <w:rsid w:val="00D633CB"/>
    <w:rsid w:val="00D7136A"/>
    <w:rsid w:val="00D72EBD"/>
    <w:rsid w:val="00D74304"/>
    <w:rsid w:val="00D74C31"/>
    <w:rsid w:val="00D7695C"/>
    <w:rsid w:val="00D8469D"/>
    <w:rsid w:val="00D85799"/>
    <w:rsid w:val="00D87498"/>
    <w:rsid w:val="00D902F8"/>
    <w:rsid w:val="00D92198"/>
    <w:rsid w:val="00D933FB"/>
    <w:rsid w:val="00DA18C3"/>
    <w:rsid w:val="00DA1A1A"/>
    <w:rsid w:val="00DA4971"/>
    <w:rsid w:val="00DA6AC3"/>
    <w:rsid w:val="00DB1011"/>
    <w:rsid w:val="00DC0B62"/>
    <w:rsid w:val="00DC119A"/>
    <w:rsid w:val="00DC1DE4"/>
    <w:rsid w:val="00DC216B"/>
    <w:rsid w:val="00DC40B4"/>
    <w:rsid w:val="00DC71A3"/>
    <w:rsid w:val="00DD0F30"/>
    <w:rsid w:val="00DD19A8"/>
    <w:rsid w:val="00DD1F8D"/>
    <w:rsid w:val="00DD56E4"/>
    <w:rsid w:val="00DD68F8"/>
    <w:rsid w:val="00DE208A"/>
    <w:rsid w:val="00DE347D"/>
    <w:rsid w:val="00DE4D63"/>
    <w:rsid w:val="00DE6032"/>
    <w:rsid w:val="00DE6EEE"/>
    <w:rsid w:val="00DE6F14"/>
    <w:rsid w:val="00DF0055"/>
    <w:rsid w:val="00DF0FF1"/>
    <w:rsid w:val="00DF13D6"/>
    <w:rsid w:val="00DF5DD5"/>
    <w:rsid w:val="00E0167A"/>
    <w:rsid w:val="00E01E06"/>
    <w:rsid w:val="00E030FC"/>
    <w:rsid w:val="00E12AFC"/>
    <w:rsid w:val="00E14374"/>
    <w:rsid w:val="00E16E1E"/>
    <w:rsid w:val="00E20532"/>
    <w:rsid w:val="00E23554"/>
    <w:rsid w:val="00E24A88"/>
    <w:rsid w:val="00E24C67"/>
    <w:rsid w:val="00E26FAD"/>
    <w:rsid w:val="00E31D66"/>
    <w:rsid w:val="00E3325F"/>
    <w:rsid w:val="00E333F7"/>
    <w:rsid w:val="00E3430B"/>
    <w:rsid w:val="00E34A9C"/>
    <w:rsid w:val="00E3689A"/>
    <w:rsid w:val="00E36F5F"/>
    <w:rsid w:val="00E40F73"/>
    <w:rsid w:val="00E52B9D"/>
    <w:rsid w:val="00E52BF1"/>
    <w:rsid w:val="00E53B86"/>
    <w:rsid w:val="00E53E75"/>
    <w:rsid w:val="00E6164B"/>
    <w:rsid w:val="00E65A02"/>
    <w:rsid w:val="00E7055B"/>
    <w:rsid w:val="00E736ED"/>
    <w:rsid w:val="00E73869"/>
    <w:rsid w:val="00E748FD"/>
    <w:rsid w:val="00E76786"/>
    <w:rsid w:val="00E77ED7"/>
    <w:rsid w:val="00E77F0B"/>
    <w:rsid w:val="00E818DC"/>
    <w:rsid w:val="00E83A43"/>
    <w:rsid w:val="00E86B5C"/>
    <w:rsid w:val="00E92BE9"/>
    <w:rsid w:val="00E95938"/>
    <w:rsid w:val="00E96344"/>
    <w:rsid w:val="00EA0D34"/>
    <w:rsid w:val="00EA1337"/>
    <w:rsid w:val="00EA15EA"/>
    <w:rsid w:val="00EB0E9F"/>
    <w:rsid w:val="00EB1E50"/>
    <w:rsid w:val="00EB1F60"/>
    <w:rsid w:val="00EB2815"/>
    <w:rsid w:val="00EB2DBF"/>
    <w:rsid w:val="00EB3DDF"/>
    <w:rsid w:val="00EB480E"/>
    <w:rsid w:val="00EB5153"/>
    <w:rsid w:val="00EB7C63"/>
    <w:rsid w:val="00EC2165"/>
    <w:rsid w:val="00EC4B50"/>
    <w:rsid w:val="00ED16A9"/>
    <w:rsid w:val="00ED3DB0"/>
    <w:rsid w:val="00ED421B"/>
    <w:rsid w:val="00ED5C08"/>
    <w:rsid w:val="00ED650D"/>
    <w:rsid w:val="00ED652C"/>
    <w:rsid w:val="00EE170A"/>
    <w:rsid w:val="00EE28A6"/>
    <w:rsid w:val="00EE5851"/>
    <w:rsid w:val="00EF2E63"/>
    <w:rsid w:val="00F03764"/>
    <w:rsid w:val="00F07538"/>
    <w:rsid w:val="00F11C88"/>
    <w:rsid w:val="00F125A4"/>
    <w:rsid w:val="00F12B19"/>
    <w:rsid w:val="00F200FA"/>
    <w:rsid w:val="00F20672"/>
    <w:rsid w:val="00F230F9"/>
    <w:rsid w:val="00F240C2"/>
    <w:rsid w:val="00F2794A"/>
    <w:rsid w:val="00F31206"/>
    <w:rsid w:val="00F31623"/>
    <w:rsid w:val="00F35A2F"/>
    <w:rsid w:val="00F4068A"/>
    <w:rsid w:val="00F47185"/>
    <w:rsid w:val="00F47E2B"/>
    <w:rsid w:val="00F5263C"/>
    <w:rsid w:val="00F5385C"/>
    <w:rsid w:val="00F55300"/>
    <w:rsid w:val="00F57C6C"/>
    <w:rsid w:val="00F614DE"/>
    <w:rsid w:val="00F649CA"/>
    <w:rsid w:val="00F657F4"/>
    <w:rsid w:val="00F7152C"/>
    <w:rsid w:val="00F7277E"/>
    <w:rsid w:val="00F72EAE"/>
    <w:rsid w:val="00F76572"/>
    <w:rsid w:val="00F816CE"/>
    <w:rsid w:val="00F838A4"/>
    <w:rsid w:val="00F842F0"/>
    <w:rsid w:val="00F851E1"/>
    <w:rsid w:val="00F85BE2"/>
    <w:rsid w:val="00F85D6D"/>
    <w:rsid w:val="00F85E27"/>
    <w:rsid w:val="00F87B60"/>
    <w:rsid w:val="00F916F3"/>
    <w:rsid w:val="00F91E2C"/>
    <w:rsid w:val="00F9435B"/>
    <w:rsid w:val="00FA3769"/>
    <w:rsid w:val="00FA41F5"/>
    <w:rsid w:val="00FA4D50"/>
    <w:rsid w:val="00FA78F3"/>
    <w:rsid w:val="00FB2564"/>
    <w:rsid w:val="00FB42A8"/>
    <w:rsid w:val="00FB4D47"/>
    <w:rsid w:val="00FB4FEF"/>
    <w:rsid w:val="00FC264E"/>
    <w:rsid w:val="00FC32DB"/>
    <w:rsid w:val="00FC3702"/>
    <w:rsid w:val="00FC3D9E"/>
    <w:rsid w:val="00FC54EF"/>
    <w:rsid w:val="00FD1464"/>
    <w:rsid w:val="00FD3C75"/>
    <w:rsid w:val="00FD47C4"/>
    <w:rsid w:val="00FE091C"/>
    <w:rsid w:val="00FE10D5"/>
    <w:rsid w:val="00FE18C2"/>
    <w:rsid w:val="00FE1C03"/>
    <w:rsid w:val="00FE627E"/>
    <w:rsid w:val="00FE7704"/>
    <w:rsid w:val="00FF1140"/>
    <w:rsid w:val="00FF39F0"/>
    <w:rsid w:val="00FF407B"/>
    <w:rsid w:val="00FF48BC"/>
    <w:rsid w:val="00FF799B"/>
    <w:rsid w:val="01012540"/>
    <w:rsid w:val="01015B5E"/>
    <w:rsid w:val="010A6427"/>
    <w:rsid w:val="01402C32"/>
    <w:rsid w:val="01435ED4"/>
    <w:rsid w:val="01532AC9"/>
    <w:rsid w:val="01B52CE4"/>
    <w:rsid w:val="01C860C4"/>
    <w:rsid w:val="024E2D94"/>
    <w:rsid w:val="025166A7"/>
    <w:rsid w:val="02564958"/>
    <w:rsid w:val="02622173"/>
    <w:rsid w:val="026A262A"/>
    <w:rsid w:val="02A96FA4"/>
    <w:rsid w:val="02BA535C"/>
    <w:rsid w:val="02F2318C"/>
    <w:rsid w:val="03017898"/>
    <w:rsid w:val="030704C9"/>
    <w:rsid w:val="03190489"/>
    <w:rsid w:val="034816DD"/>
    <w:rsid w:val="0364244C"/>
    <w:rsid w:val="036C23B1"/>
    <w:rsid w:val="037541AF"/>
    <w:rsid w:val="038A0735"/>
    <w:rsid w:val="03C373BD"/>
    <w:rsid w:val="03CF4661"/>
    <w:rsid w:val="040F0FF4"/>
    <w:rsid w:val="041A3833"/>
    <w:rsid w:val="04336FBB"/>
    <w:rsid w:val="045471D8"/>
    <w:rsid w:val="04743B71"/>
    <w:rsid w:val="04911875"/>
    <w:rsid w:val="04BA3988"/>
    <w:rsid w:val="05151A0B"/>
    <w:rsid w:val="05207769"/>
    <w:rsid w:val="05514B7E"/>
    <w:rsid w:val="056432E4"/>
    <w:rsid w:val="056F4631"/>
    <w:rsid w:val="05B23E04"/>
    <w:rsid w:val="05B26221"/>
    <w:rsid w:val="05B26F8C"/>
    <w:rsid w:val="0615507B"/>
    <w:rsid w:val="062F485E"/>
    <w:rsid w:val="063B41FF"/>
    <w:rsid w:val="06560835"/>
    <w:rsid w:val="067E0596"/>
    <w:rsid w:val="07014A1D"/>
    <w:rsid w:val="070E442D"/>
    <w:rsid w:val="074A0267"/>
    <w:rsid w:val="07784444"/>
    <w:rsid w:val="07856248"/>
    <w:rsid w:val="079B7365"/>
    <w:rsid w:val="07C560A6"/>
    <w:rsid w:val="07E24CE1"/>
    <w:rsid w:val="07E8481F"/>
    <w:rsid w:val="07EB14EA"/>
    <w:rsid w:val="07F0219A"/>
    <w:rsid w:val="081A1ACF"/>
    <w:rsid w:val="08496CC8"/>
    <w:rsid w:val="08593FC8"/>
    <w:rsid w:val="085F2616"/>
    <w:rsid w:val="086E05A8"/>
    <w:rsid w:val="0896321E"/>
    <w:rsid w:val="08AE7DCE"/>
    <w:rsid w:val="08C03E53"/>
    <w:rsid w:val="08CD421F"/>
    <w:rsid w:val="08D262A8"/>
    <w:rsid w:val="08DC1EAC"/>
    <w:rsid w:val="091C2DA5"/>
    <w:rsid w:val="093423AD"/>
    <w:rsid w:val="093B6F9B"/>
    <w:rsid w:val="09434209"/>
    <w:rsid w:val="09702FA0"/>
    <w:rsid w:val="09710AAB"/>
    <w:rsid w:val="09846655"/>
    <w:rsid w:val="09B64D1C"/>
    <w:rsid w:val="09BB14FF"/>
    <w:rsid w:val="09BB7220"/>
    <w:rsid w:val="09BD1669"/>
    <w:rsid w:val="09E219BF"/>
    <w:rsid w:val="0A113E8B"/>
    <w:rsid w:val="0A114055"/>
    <w:rsid w:val="0A494081"/>
    <w:rsid w:val="0A4D0829"/>
    <w:rsid w:val="0A520A8B"/>
    <w:rsid w:val="0A586CB1"/>
    <w:rsid w:val="0A930D1E"/>
    <w:rsid w:val="0A982AB6"/>
    <w:rsid w:val="0A99092D"/>
    <w:rsid w:val="0AD74A11"/>
    <w:rsid w:val="0ADF4674"/>
    <w:rsid w:val="0B141192"/>
    <w:rsid w:val="0B297D03"/>
    <w:rsid w:val="0B3A2C5A"/>
    <w:rsid w:val="0B3E6C54"/>
    <w:rsid w:val="0B47304E"/>
    <w:rsid w:val="0B6531CE"/>
    <w:rsid w:val="0BAB3C18"/>
    <w:rsid w:val="0BE96AEF"/>
    <w:rsid w:val="0BF428C6"/>
    <w:rsid w:val="0C01272C"/>
    <w:rsid w:val="0C560EDB"/>
    <w:rsid w:val="0C7F1A86"/>
    <w:rsid w:val="0C883ABC"/>
    <w:rsid w:val="0CAB03BE"/>
    <w:rsid w:val="0D32076A"/>
    <w:rsid w:val="0D4C141B"/>
    <w:rsid w:val="0D55514A"/>
    <w:rsid w:val="0D5944D2"/>
    <w:rsid w:val="0D8026E5"/>
    <w:rsid w:val="0D830BBC"/>
    <w:rsid w:val="0DDD1215"/>
    <w:rsid w:val="0DE314F2"/>
    <w:rsid w:val="0E641A1C"/>
    <w:rsid w:val="0E76517C"/>
    <w:rsid w:val="0E8C7032"/>
    <w:rsid w:val="0E9030E8"/>
    <w:rsid w:val="0E9239CC"/>
    <w:rsid w:val="0EAD461B"/>
    <w:rsid w:val="0EB1399B"/>
    <w:rsid w:val="0EC35F79"/>
    <w:rsid w:val="0EF52614"/>
    <w:rsid w:val="0F5C3212"/>
    <w:rsid w:val="0F7E0375"/>
    <w:rsid w:val="0F856910"/>
    <w:rsid w:val="0F8E42F0"/>
    <w:rsid w:val="0F94775E"/>
    <w:rsid w:val="0F9A1269"/>
    <w:rsid w:val="0FA7299F"/>
    <w:rsid w:val="0FA83728"/>
    <w:rsid w:val="10071E53"/>
    <w:rsid w:val="102B5CE9"/>
    <w:rsid w:val="10507A1E"/>
    <w:rsid w:val="10510368"/>
    <w:rsid w:val="10536A4F"/>
    <w:rsid w:val="10783A95"/>
    <w:rsid w:val="107D7C1B"/>
    <w:rsid w:val="108871A9"/>
    <w:rsid w:val="108D3345"/>
    <w:rsid w:val="109951E3"/>
    <w:rsid w:val="10E63EFB"/>
    <w:rsid w:val="10E872BB"/>
    <w:rsid w:val="113B4B96"/>
    <w:rsid w:val="115B75F8"/>
    <w:rsid w:val="115E2136"/>
    <w:rsid w:val="117C6888"/>
    <w:rsid w:val="119634B7"/>
    <w:rsid w:val="119B2365"/>
    <w:rsid w:val="11C31BA2"/>
    <w:rsid w:val="11CB2160"/>
    <w:rsid w:val="11CE4D16"/>
    <w:rsid w:val="12074309"/>
    <w:rsid w:val="12C7479A"/>
    <w:rsid w:val="12D270D2"/>
    <w:rsid w:val="12DB7038"/>
    <w:rsid w:val="13014B1E"/>
    <w:rsid w:val="13273C56"/>
    <w:rsid w:val="132B73A3"/>
    <w:rsid w:val="13347752"/>
    <w:rsid w:val="13501E0C"/>
    <w:rsid w:val="13507528"/>
    <w:rsid w:val="136C153A"/>
    <w:rsid w:val="137930C9"/>
    <w:rsid w:val="13863A73"/>
    <w:rsid w:val="13A256ED"/>
    <w:rsid w:val="13D604FC"/>
    <w:rsid w:val="140037ED"/>
    <w:rsid w:val="14072AE9"/>
    <w:rsid w:val="143470CD"/>
    <w:rsid w:val="145745C8"/>
    <w:rsid w:val="145D6AA1"/>
    <w:rsid w:val="146D102E"/>
    <w:rsid w:val="14721E07"/>
    <w:rsid w:val="14932B4F"/>
    <w:rsid w:val="14A814DA"/>
    <w:rsid w:val="14EE6E85"/>
    <w:rsid w:val="152B716F"/>
    <w:rsid w:val="15492F28"/>
    <w:rsid w:val="1550195D"/>
    <w:rsid w:val="1567288F"/>
    <w:rsid w:val="15752A0A"/>
    <w:rsid w:val="157A1D36"/>
    <w:rsid w:val="157B330B"/>
    <w:rsid w:val="162C20F6"/>
    <w:rsid w:val="164D1294"/>
    <w:rsid w:val="16AE6205"/>
    <w:rsid w:val="16AE78EF"/>
    <w:rsid w:val="16DE618F"/>
    <w:rsid w:val="170550B0"/>
    <w:rsid w:val="1727735C"/>
    <w:rsid w:val="172C029C"/>
    <w:rsid w:val="1748568B"/>
    <w:rsid w:val="175954ED"/>
    <w:rsid w:val="177B56F9"/>
    <w:rsid w:val="178F2334"/>
    <w:rsid w:val="17A83155"/>
    <w:rsid w:val="18022700"/>
    <w:rsid w:val="180341E4"/>
    <w:rsid w:val="18054DEA"/>
    <w:rsid w:val="183169DD"/>
    <w:rsid w:val="18602745"/>
    <w:rsid w:val="18741D97"/>
    <w:rsid w:val="18A678E1"/>
    <w:rsid w:val="18B057C0"/>
    <w:rsid w:val="18B608F1"/>
    <w:rsid w:val="18CA28F8"/>
    <w:rsid w:val="18DF0D43"/>
    <w:rsid w:val="196E5D4A"/>
    <w:rsid w:val="197B5D58"/>
    <w:rsid w:val="19CD1278"/>
    <w:rsid w:val="19F85327"/>
    <w:rsid w:val="19FE50A6"/>
    <w:rsid w:val="1A111451"/>
    <w:rsid w:val="1A156B1B"/>
    <w:rsid w:val="1A2F0D20"/>
    <w:rsid w:val="1A4767CE"/>
    <w:rsid w:val="1A564145"/>
    <w:rsid w:val="1A97389B"/>
    <w:rsid w:val="1AC9512D"/>
    <w:rsid w:val="1AEE1C7A"/>
    <w:rsid w:val="1B10005F"/>
    <w:rsid w:val="1B205B33"/>
    <w:rsid w:val="1B352AA4"/>
    <w:rsid w:val="1B5A54DF"/>
    <w:rsid w:val="1B7C28E4"/>
    <w:rsid w:val="1B7E2575"/>
    <w:rsid w:val="1BA85459"/>
    <w:rsid w:val="1BC479CE"/>
    <w:rsid w:val="1C5C3219"/>
    <w:rsid w:val="1C5C7E35"/>
    <w:rsid w:val="1C6A6A7F"/>
    <w:rsid w:val="1C9B44BF"/>
    <w:rsid w:val="1C9C533C"/>
    <w:rsid w:val="1CB87E86"/>
    <w:rsid w:val="1CED7518"/>
    <w:rsid w:val="1D304574"/>
    <w:rsid w:val="1D3934F6"/>
    <w:rsid w:val="1D45625D"/>
    <w:rsid w:val="1D525378"/>
    <w:rsid w:val="1E9D1170"/>
    <w:rsid w:val="1E9E1165"/>
    <w:rsid w:val="1EC06519"/>
    <w:rsid w:val="1EC1580D"/>
    <w:rsid w:val="1ECB03E3"/>
    <w:rsid w:val="1EDC4A35"/>
    <w:rsid w:val="1EE81DD4"/>
    <w:rsid w:val="1F3D4FA0"/>
    <w:rsid w:val="1F68179C"/>
    <w:rsid w:val="1F770F20"/>
    <w:rsid w:val="1FED451D"/>
    <w:rsid w:val="1FEF4E1F"/>
    <w:rsid w:val="1FF523F4"/>
    <w:rsid w:val="1FFB0D6B"/>
    <w:rsid w:val="20147714"/>
    <w:rsid w:val="201B26B0"/>
    <w:rsid w:val="2054270B"/>
    <w:rsid w:val="206D7926"/>
    <w:rsid w:val="20DB7C90"/>
    <w:rsid w:val="20F50A38"/>
    <w:rsid w:val="20FA5533"/>
    <w:rsid w:val="210F17B2"/>
    <w:rsid w:val="219E6381"/>
    <w:rsid w:val="21F07AC1"/>
    <w:rsid w:val="223F7DE6"/>
    <w:rsid w:val="22561186"/>
    <w:rsid w:val="22EF2A1C"/>
    <w:rsid w:val="231B799C"/>
    <w:rsid w:val="233F2B8A"/>
    <w:rsid w:val="236D5D4E"/>
    <w:rsid w:val="238E494F"/>
    <w:rsid w:val="23995E27"/>
    <w:rsid w:val="23C6058D"/>
    <w:rsid w:val="23DE38BD"/>
    <w:rsid w:val="240115C5"/>
    <w:rsid w:val="242A2F90"/>
    <w:rsid w:val="243101F3"/>
    <w:rsid w:val="24570C86"/>
    <w:rsid w:val="24691D0D"/>
    <w:rsid w:val="248C4C2D"/>
    <w:rsid w:val="24900F3C"/>
    <w:rsid w:val="24A26B4B"/>
    <w:rsid w:val="24BB6B5E"/>
    <w:rsid w:val="24CD330E"/>
    <w:rsid w:val="24E83127"/>
    <w:rsid w:val="2574254E"/>
    <w:rsid w:val="25855308"/>
    <w:rsid w:val="258E0646"/>
    <w:rsid w:val="25A80D9F"/>
    <w:rsid w:val="25D10FFA"/>
    <w:rsid w:val="25E451D4"/>
    <w:rsid w:val="25E9799D"/>
    <w:rsid w:val="2619034A"/>
    <w:rsid w:val="262A3A32"/>
    <w:rsid w:val="26312184"/>
    <w:rsid w:val="263437DA"/>
    <w:rsid w:val="263F41D4"/>
    <w:rsid w:val="2672176C"/>
    <w:rsid w:val="2692406C"/>
    <w:rsid w:val="269A5694"/>
    <w:rsid w:val="26B84253"/>
    <w:rsid w:val="26F1714F"/>
    <w:rsid w:val="27074A0A"/>
    <w:rsid w:val="271D6716"/>
    <w:rsid w:val="274719E5"/>
    <w:rsid w:val="27726E1E"/>
    <w:rsid w:val="278325AC"/>
    <w:rsid w:val="27960928"/>
    <w:rsid w:val="279B2ECA"/>
    <w:rsid w:val="27B7697E"/>
    <w:rsid w:val="27BB6C3B"/>
    <w:rsid w:val="27C4321E"/>
    <w:rsid w:val="27C527F9"/>
    <w:rsid w:val="28096A02"/>
    <w:rsid w:val="287215D4"/>
    <w:rsid w:val="28767A0D"/>
    <w:rsid w:val="28885CDA"/>
    <w:rsid w:val="28A91C5E"/>
    <w:rsid w:val="28AF759D"/>
    <w:rsid w:val="28CC3ACA"/>
    <w:rsid w:val="28ED13AD"/>
    <w:rsid w:val="29092141"/>
    <w:rsid w:val="292D01BB"/>
    <w:rsid w:val="29597ED1"/>
    <w:rsid w:val="29734F00"/>
    <w:rsid w:val="299061E8"/>
    <w:rsid w:val="29A73953"/>
    <w:rsid w:val="29B3080C"/>
    <w:rsid w:val="29B91506"/>
    <w:rsid w:val="29BF51DC"/>
    <w:rsid w:val="29CC7009"/>
    <w:rsid w:val="29FE24B5"/>
    <w:rsid w:val="2A483A97"/>
    <w:rsid w:val="2A713268"/>
    <w:rsid w:val="2ACD5D14"/>
    <w:rsid w:val="2AEC18F3"/>
    <w:rsid w:val="2B003297"/>
    <w:rsid w:val="2B0B7BB4"/>
    <w:rsid w:val="2B222D63"/>
    <w:rsid w:val="2B592D2F"/>
    <w:rsid w:val="2B901376"/>
    <w:rsid w:val="2B933ADB"/>
    <w:rsid w:val="2BA3593E"/>
    <w:rsid w:val="2C072180"/>
    <w:rsid w:val="2C3134AC"/>
    <w:rsid w:val="2C536768"/>
    <w:rsid w:val="2C5E7553"/>
    <w:rsid w:val="2C7A3448"/>
    <w:rsid w:val="2C927EF4"/>
    <w:rsid w:val="2C93682A"/>
    <w:rsid w:val="2CB33BBA"/>
    <w:rsid w:val="2CEC3B49"/>
    <w:rsid w:val="2D15461F"/>
    <w:rsid w:val="2D6C7E3C"/>
    <w:rsid w:val="2D7C44C8"/>
    <w:rsid w:val="2D833230"/>
    <w:rsid w:val="2D8B01D8"/>
    <w:rsid w:val="2D916933"/>
    <w:rsid w:val="2DEF49E7"/>
    <w:rsid w:val="2E286E33"/>
    <w:rsid w:val="2E392BA1"/>
    <w:rsid w:val="2E40718C"/>
    <w:rsid w:val="2E655007"/>
    <w:rsid w:val="2E995560"/>
    <w:rsid w:val="2EBD44A2"/>
    <w:rsid w:val="2ECD6C74"/>
    <w:rsid w:val="2F123D38"/>
    <w:rsid w:val="2F1E283A"/>
    <w:rsid w:val="2F721E9C"/>
    <w:rsid w:val="2F7A18A1"/>
    <w:rsid w:val="2FCB5DFF"/>
    <w:rsid w:val="2FE5327D"/>
    <w:rsid w:val="30192D0F"/>
    <w:rsid w:val="303D5C47"/>
    <w:rsid w:val="304D3E2C"/>
    <w:rsid w:val="304E5919"/>
    <w:rsid w:val="30667CFC"/>
    <w:rsid w:val="30854E7B"/>
    <w:rsid w:val="308C66BA"/>
    <w:rsid w:val="30C67958"/>
    <w:rsid w:val="30CA7CA7"/>
    <w:rsid w:val="30DC03E3"/>
    <w:rsid w:val="30DC2F59"/>
    <w:rsid w:val="30F64BBF"/>
    <w:rsid w:val="30FC6918"/>
    <w:rsid w:val="3124317E"/>
    <w:rsid w:val="3132471A"/>
    <w:rsid w:val="31927B7A"/>
    <w:rsid w:val="321130B2"/>
    <w:rsid w:val="322A3164"/>
    <w:rsid w:val="322E6007"/>
    <w:rsid w:val="32315C3F"/>
    <w:rsid w:val="326D6AF0"/>
    <w:rsid w:val="32DA1752"/>
    <w:rsid w:val="32DD144F"/>
    <w:rsid w:val="33045B13"/>
    <w:rsid w:val="332073BE"/>
    <w:rsid w:val="333B681D"/>
    <w:rsid w:val="334E0A4B"/>
    <w:rsid w:val="33773D05"/>
    <w:rsid w:val="338021DA"/>
    <w:rsid w:val="33C47926"/>
    <w:rsid w:val="33E554D6"/>
    <w:rsid w:val="342226F7"/>
    <w:rsid w:val="344C3734"/>
    <w:rsid w:val="3470607E"/>
    <w:rsid w:val="34921EEA"/>
    <w:rsid w:val="34A12815"/>
    <w:rsid w:val="34AE2C38"/>
    <w:rsid w:val="34D31B1A"/>
    <w:rsid w:val="34DD7974"/>
    <w:rsid w:val="350D5554"/>
    <w:rsid w:val="359508F1"/>
    <w:rsid w:val="359A68BA"/>
    <w:rsid w:val="35AA7694"/>
    <w:rsid w:val="35C0294E"/>
    <w:rsid w:val="35D91AB4"/>
    <w:rsid w:val="35E3091B"/>
    <w:rsid w:val="362012D3"/>
    <w:rsid w:val="36316B89"/>
    <w:rsid w:val="363E2CD2"/>
    <w:rsid w:val="36412B26"/>
    <w:rsid w:val="36477C27"/>
    <w:rsid w:val="36863A05"/>
    <w:rsid w:val="369A0CEB"/>
    <w:rsid w:val="36EB21F3"/>
    <w:rsid w:val="36F217E4"/>
    <w:rsid w:val="36F800CA"/>
    <w:rsid w:val="36FB4EEC"/>
    <w:rsid w:val="371520F1"/>
    <w:rsid w:val="37622D59"/>
    <w:rsid w:val="37747A1B"/>
    <w:rsid w:val="378B7CCD"/>
    <w:rsid w:val="379A1709"/>
    <w:rsid w:val="37BA3650"/>
    <w:rsid w:val="37EF5C41"/>
    <w:rsid w:val="381F4FCA"/>
    <w:rsid w:val="38252262"/>
    <w:rsid w:val="383648A1"/>
    <w:rsid w:val="38494CB7"/>
    <w:rsid w:val="38541054"/>
    <w:rsid w:val="385C5F52"/>
    <w:rsid w:val="385D1D76"/>
    <w:rsid w:val="38676761"/>
    <w:rsid w:val="386D0820"/>
    <w:rsid w:val="38717F6A"/>
    <w:rsid w:val="38B11DFF"/>
    <w:rsid w:val="38E87261"/>
    <w:rsid w:val="38F71FBB"/>
    <w:rsid w:val="392E3460"/>
    <w:rsid w:val="39345171"/>
    <w:rsid w:val="393B3189"/>
    <w:rsid w:val="395C34B9"/>
    <w:rsid w:val="396E324A"/>
    <w:rsid w:val="398F144D"/>
    <w:rsid w:val="39A37585"/>
    <w:rsid w:val="39B237F8"/>
    <w:rsid w:val="39C26981"/>
    <w:rsid w:val="39C43A93"/>
    <w:rsid w:val="39DB4C7C"/>
    <w:rsid w:val="3A0341BE"/>
    <w:rsid w:val="3A2B2B4A"/>
    <w:rsid w:val="3A4F27F3"/>
    <w:rsid w:val="3A9171B3"/>
    <w:rsid w:val="3A996F91"/>
    <w:rsid w:val="3AAC1913"/>
    <w:rsid w:val="3ABD71CC"/>
    <w:rsid w:val="3AC81996"/>
    <w:rsid w:val="3B0804F8"/>
    <w:rsid w:val="3B264DFC"/>
    <w:rsid w:val="3B312B9A"/>
    <w:rsid w:val="3B331054"/>
    <w:rsid w:val="3B384930"/>
    <w:rsid w:val="3B53358F"/>
    <w:rsid w:val="3B912AF2"/>
    <w:rsid w:val="3BBA4A59"/>
    <w:rsid w:val="3BDA3D78"/>
    <w:rsid w:val="3BE477BB"/>
    <w:rsid w:val="3BEA1A51"/>
    <w:rsid w:val="3BEC6F33"/>
    <w:rsid w:val="3C255FF3"/>
    <w:rsid w:val="3C2A0998"/>
    <w:rsid w:val="3C5161B1"/>
    <w:rsid w:val="3C5F48B8"/>
    <w:rsid w:val="3C841D99"/>
    <w:rsid w:val="3C97438C"/>
    <w:rsid w:val="3CB42473"/>
    <w:rsid w:val="3CBA4554"/>
    <w:rsid w:val="3CC007F1"/>
    <w:rsid w:val="3CC176C8"/>
    <w:rsid w:val="3CCB36C2"/>
    <w:rsid w:val="3CD25455"/>
    <w:rsid w:val="3CE76A0E"/>
    <w:rsid w:val="3CEE59C2"/>
    <w:rsid w:val="3D1E6299"/>
    <w:rsid w:val="3D2220C6"/>
    <w:rsid w:val="3DC81A14"/>
    <w:rsid w:val="3DD3074A"/>
    <w:rsid w:val="3E1B4FCD"/>
    <w:rsid w:val="3E1F745F"/>
    <w:rsid w:val="3E30765A"/>
    <w:rsid w:val="3E34023E"/>
    <w:rsid w:val="3E7C51D7"/>
    <w:rsid w:val="3E8E357E"/>
    <w:rsid w:val="3EE1369B"/>
    <w:rsid w:val="3EEC566D"/>
    <w:rsid w:val="3EF1064D"/>
    <w:rsid w:val="3EF20099"/>
    <w:rsid w:val="3F060FFD"/>
    <w:rsid w:val="3F165868"/>
    <w:rsid w:val="3F2B7F74"/>
    <w:rsid w:val="3F3739E6"/>
    <w:rsid w:val="3F5625BC"/>
    <w:rsid w:val="3F693ED8"/>
    <w:rsid w:val="3FBC1C3D"/>
    <w:rsid w:val="3FD753AE"/>
    <w:rsid w:val="3FF61915"/>
    <w:rsid w:val="40255AE9"/>
    <w:rsid w:val="40321825"/>
    <w:rsid w:val="404D1DDF"/>
    <w:rsid w:val="407B7AA1"/>
    <w:rsid w:val="409A531A"/>
    <w:rsid w:val="409B6CE3"/>
    <w:rsid w:val="40A42DC9"/>
    <w:rsid w:val="40A761FA"/>
    <w:rsid w:val="40BB7D96"/>
    <w:rsid w:val="40D479EE"/>
    <w:rsid w:val="40E16E29"/>
    <w:rsid w:val="40EC7699"/>
    <w:rsid w:val="41014687"/>
    <w:rsid w:val="413471FA"/>
    <w:rsid w:val="41621BED"/>
    <w:rsid w:val="416A2CCA"/>
    <w:rsid w:val="41817D01"/>
    <w:rsid w:val="4187627E"/>
    <w:rsid w:val="41B049A2"/>
    <w:rsid w:val="41B24EB9"/>
    <w:rsid w:val="41D07AA3"/>
    <w:rsid w:val="41F448D1"/>
    <w:rsid w:val="4217135B"/>
    <w:rsid w:val="422A34D8"/>
    <w:rsid w:val="424A22D0"/>
    <w:rsid w:val="426D0216"/>
    <w:rsid w:val="42796B73"/>
    <w:rsid w:val="427C0FD5"/>
    <w:rsid w:val="42E35E0C"/>
    <w:rsid w:val="43253113"/>
    <w:rsid w:val="433A7DD1"/>
    <w:rsid w:val="435B574E"/>
    <w:rsid w:val="43A0043B"/>
    <w:rsid w:val="43C5521C"/>
    <w:rsid w:val="43D45841"/>
    <w:rsid w:val="43EE6778"/>
    <w:rsid w:val="441177A2"/>
    <w:rsid w:val="44164A5C"/>
    <w:rsid w:val="44252CFF"/>
    <w:rsid w:val="44493BD6"/>
    <w:rsid w:val="445824E3"/>
    <w:rsid w:val="447F4920"/>
    <w:rsid w:val="4485495C"/>
    <w:rsid w:val="44953938"/>
    <w:rsid w:val="44961163"/>
    <w:rsid w:val="44BF4F84"/>
    <w:rsid w:val="44C13107"/>
    <w:rsid w:val="44C45364"/>
    <w:rsid w:val="44F079CA"/>
    <w:rsid w:val="44FF2B2C"/>
    <w:rsid w:val="452C5C78"/>
    <w:rsid w:val="453F565C"/>
    <w:rsid w:val="45535FD4"/>
    <w:rsid w:val="455467DD"/>
    <w:rsid w:val="4590778F"/>
    <w:rsid w:val="45BF2188"/>
    <w:rsid w:val="45FC7254"/>
    <w:rsid w:val="46153ADE"/>
    <w:rsid w:val="46200534"/>
    <w:rsid w:val="46227AA5"/>
    <w:rsid w:val="46264D09"/>
    <w:rsid w:val="465E628B"/>
    <w:rsid w:val="4660251C"/>
    <w:rsid w:val="466B429C"/>
    <w:rsid w:val="467B1E3B"/>
    <w:rsid w:val="46973357"/>
    <w:rsid w:val="46BD6055"/>
    <w:rsid w:val="46C54E59"/>
    <w:rsid w:val="46DE2CF9"/>
    <w:rsid w:val="473F4CFA"/>
    <w:rsid w:val="475B5220"/>
    <w:rsid w:val="476316F8"/>
    <w:rsid w:val="476C1831"/>
    <w:rsid w:val="47715FE9"/>
    <w:rsid w:val="477663F7"/>
    <w:rsid w:val="477D052C"/>
    <w:rsid w:val="4794732E"/>
    <w:rsid w:val="47956D5E"/>
    <w:rsid w:val="479E26CA"/>
    <w:rsid w:val="47C27A99"/>
    <w:rsid w:val="47F744D4"/>
    <w:rsid w:val="481C365C"/>
    <w:rsid w:val="484E76DC"/>
    <w:rsid w:val="48642506"/>
    <w:rsid w:val="48712F10"/>
    <w:rsid w:val="487C559D"/>
    <w:rsid w:val="488E2FC9"/>
    <w:rsid w:val="48AE7CB3"/>
    <w:rsid w:val="48BE5D25"/>
    <w:rsid w:val="48C36C9B"/>
    <w:rsid w:val="48DC510B"/>
    <w:rsid w:val="48E53382"/>
    <w:rsid w:val="48F90339"/>
    <w:rsid w:val="490125CA"/>
    <w:rsid w:val="490E54DC"/>
    <w:rsid w:val="4911113C"/>
    <w:rsid w:val="49200C8E"/>
    <w:rsid w:val="49292EB7"/>
    <w:rsid w:val="493F3E72"/>
    <w:rsid w:val="49772C48"/>
    <w:rsid w:val="49885692"/>
    <w:rsid w:val="49AA7840"/>
    <w:rsid w:val="49B33199"/>
    <w:rsid w:val="49C74CA5"/>
    <w:rsid w:val="49D20543"/>
    <w:rsid w:val="4A1112E9"/>
    <w:rsid w:val="4A1A56BC"/>
    <w:rsid w:val="4A280053"/>
    <w:rsid w:val="4A296E8C"/>
    <w:rsid w:val="4A4E76B7"/>
    <w:rsid w:val="4A622AF7"/>
    <w:rsid w:val="4A926A54"/>
    <w:rsid w:val="4A981A8C"/>
    <w:rsid w:val="4A9E7B87"/>
    <w:rsid w:val="4B0A3178"/>
    <w:rsid w:val="4B1A3425"/>
    <w:rsid w:val="4B5873D2"/>
    <w:rsid w:val="4B945FA8"/>
    <w:rsid w:val="4BB33B54"/>
    <w:rsid w:val="4BC07F1A"/>
    <w:rsid w:val="4BC614C2"/>
    <w:rsid w:val="4C0160F0"/>
    <w:rsid w:val="4C02662B"/>
    <w:rsid w:val="4C1A159C"/>
    <w:rsid w:val="4C2B23F1"/>
    <w:rsid w:val="4C3537C5"/>
    <w:rsid w:val="4C580F64"/>
    <w:rsid w:val="4C710B5A"/>
    <w:rsid w:val="4CB372C3"/>
    <w:rsid w:val="4CE8600B"/>
    <w:rsid w:val="4D28350F"/>
    <w:rsid w:val="4D8A252F"/>
    <w:rsid w:val="4D8A35B4"/>
    <w:rsid w:val="4DE63D6B"/>
    <w:rsid w:val="4E0C1EAC"/>
    <w:rsid w:val="4E122A20"/>
    <w:rsid w:val="4E69388B"/>
    <w:rsid w:val="4E76181D"/>
    <w:rsid w:val="4E780DFF"/>
    <w:rsid w:val="4EC1551F"/>
    <w:rsid w:val="4F126BCA"/>
    <w:rsid w:val="4F65372B"/>
    <w:rsid w:val="4FC51F86"/>
    <w:rsid w:val="50452A20"/>
    <w:rsid w:val="505E229A"/>
    <w:rsid w:val="507064AE"/>
    <w:rsid w:val="50AD6489"/>
    <w:rsid w:val="50B07C28"/>
    <w:rsid w:val="50DE4171"/>
    <w:rsid w:val="50EC5CC5"/>
    <w:rsid w:val="51025646"/>
    <w:rsid w:val="512C0148"/>
    <w:rsid w:val="517B0CAF"/>
    <w:rsid w:val="51820C60"/>
    <w:rsid w:val="518555AD"/>
    <w:rsid w:val="51B76C9C"/>
    <w:rsid w:val="51C755E0"/>
    <w:rsid w:val="51C90C55"/>
    <w:rsid w:val="52187BB1"/>
    <w:rsid w:val="522C2809"/>
    <w:rsid w:val="525E694E"/>
    <w:rsid w:val="529B03D9"/>
    <w:rsid w:val="52CC62BF"/>
    <w:rsid w:val="530F6145"/>
    <w:rsid w:val="539A6D90"/>
    <w:rsid w:val="53C555FC"/>
    <w:rsid w:val="53E605F6"/>
    <w:rsid w:val="543E381A"/>
    <w:rsid w:val="545D7EAD"/>
    <w:rsid w:val="545F361A"/>
    <w:rsid w:val="546459F5"/>
    <w:rsid w:val="546D3842"/>
    <w:rsid w:val="549879FF"/>
    <w:rsid w:val="54BB4CB1"/>
    <w:rsid w:val="54C23F02"/>
    <w:rsid w:val="54ED1742"/>
    <w:rsid w:val="54F10654"/>
    <w:rsid w:val="550308D4"/>
    <w:rsid w:val="552F0426"/>
    <w:rsid w:val="553A3511"/>
    <w:rsid w:val="556C0F13"/>
    <w:rsid w:val="558A6BB8"/>
    <w:rsid w:val="55920B52"/>
    <w:rsid w:val="559C6A72"/>
    <w:rsid w:val="55A53E56"/>
    <w:rsid w:val="55AA71EC"/>
    <w:rsid w:val="55BF3B29"/>
    <w:rsid w:val="55EE3A9D"/>
    <w:rsid w:val="56087391"/>
    <w:rsid w:val="561B277A"/>
    <w:rsid w:val="56262689"/>
    <w:rsid w:val="562D22C8"/>
    <w:rsid w:val="56441B4C"/>
    <w:rsid w:val="56676926"/>
    <w:rsid w:val="56744DA3"/>
    <w:rsid w:val="56865805"/>
    <w:rsid w:val="56A36DA9"/>
    <w:rsid w:val="56B527FF"/>
    <w:rsid w:val="56D1505C"/>
    <w:rsid w:val="56F72B6F"/>
    <w:rsid w:val="57562478"/>
    <w:rsid w:val="579848EB"/>
    <w:rsid w:val="579D568B"/>
    <w:rsid w:val="57B94BA6"/>
    <w:rsid w:val="57D73194"/>
    <w:rsid w:val="57DE7180"/>
    <w:rsid w:val="57F737FC"/>
    <w:rsid w:val="57FD481F"/>
    <w:rsid w:val="58180E01"/>
    <w:rsid w:val="584D797C"/>
    <w:rsid w:val="586751C1"/>
    <w:rsid w:val="588738A8"/>
    <w:rsid w:val="58931A2E"/>
    <w:rsid w:val="58977DC1"/>
    <w:rsid w:val="58C5062A"/>
    <w:rsid w:val="58CB4D8F"/>
    <w:rsid w:val="58E06B68"/>
    <w:rsid w:val="5928618B"/>
    <w:rsid w:val="593E2530"/>
    <w:rsid w:val="594C694B"/>
    <w:rsid w:val="59646E79"/>
    <w:rsid w:val="59693ECA"/>
    <w:rsid w:val="599B5AD6"/>
    <w:rsid w:val="59AE4F36"/>
    <w:rsid w:val="59B04EF8"/>
    <w:rsid w:val="59C96C04"/>
    <w:rsid w:val="59D516FC"/>
    <w:rsid w:val="59EA2C27"/>
    <w:rsid w:val="59EF13D5"/>
    <w:rsid w:val="59F10C66"/>
    <w:rsid w:val="5A1A402E"/>
    <w:rsid w:val="5A1E0934"/>
    <w:rsid w:val="5A2E14B5"/>
    <w:rsid w:val="5A7074BC"/>
    <w:rsid w:val="5A73131D"/>
    <w:rsid w:val="5AA0539B"/>
    <w:rsid w:val="5ABB7CC4"/>
    <w:rsid w:val="5AC35B2C"/>
    <w:rsid w:val="5AED1CBE"/>
    <w:rsid w:val="5AF078B4"/>
    <w:rsid w:val="5B04400A"/>
    <w:rsid w:val="5B164444"/>
    <w:rsid w:val="5B416427"/>
    <w:rsid w:val="5B81747F"/>
    <w:rsid w:val="5B9C1CDD"/>
    <w:rsid w:val="5BEA11FB"/>
    <w:rsid w:val="5BF21495"/>
    <w:rsid w:val="5BF57A15"/>
    <w:rsid w:val="5C054DC6"/>
    <w:rsid w:val="5C167EA2"/>
    <w:rsid w:val="5C181188"/>
    <w:rsid w:val="5C6A433E"/>
    <w:rsid w:val="5C9D4341"/>
    <w:rsid w:val="5CE547A7"/>
    <w:rsid w:val="5D136AF5"/>
    <w:rsid w:val="5D4B7376"/>
    <w:rsid w:val="5D603413"/>
    <w:rsid w:val="5D643A4E"/>
    <w:rsid w:val="5D6F410C"/>
    <w:rsid w:val="5DA02B48"/>
    <w:rsid w:val="5DA63E14"/>
    <w:rsid w:val="5DF14FAE"/>
    <w:rsid w:val="5DFA6971"/>
    <w:rsid w:val="5E342DEE"/>
    <w:rsid w:val="5E4B393A"/>
    <w:rsid w:val="5E72249C"/>
    <w:rsid w:val="5E7E3242"/>
    <w:rsid w:val="5E994292"/>
    <w:rsid w:val="5EBA16CC"/>
    <w:rsid w:val="5EE37DE7"/>
    <w:rsid w:val="5F0414E2"/>
    <w:rsid w:val="5F3B575F"/>
    <w:rsid w:val="5F62498C"/>
    <w:rsid w:val="5FB943DC"/>
    <w:rsid w:val="5FF0080A"/>
    <w:rsid w:val="5FFA2DF9"/>
    <w:rsid w:val="601416C4"/>
    <w:rsid w:val="604E05FF"/>
    <w:rsid w:val="6050168D"/>
    <w:rsid w:val="60AD7B6E"/>
    <w:rsid w:val="60AE2C3A"/>
    <w:rsid w:val="60D4078D"/>
    <w:rsid w:val="60E449EC"/>
    <w:rsid w:val="60E4548E"/>
    <w:rsid w:val="60FF1B8E"/>
    <w:rsid w:val="611B26D0"/>
    <w:rsid w:val="61204B6A"/>
    <w:rsid w:val="61255EE8"/>
    <w:rsid w:val="612B694B"/>
    <w:rsid w:val="61585A73"/>
    <w:rsid w:val="615D3E29"/>
    <w:rsid w:val="6185600F"/>
    <w:rsid w:val="61931DEB"/>
    <w:rsid w:val="61975D21"/>
    <w:rsid w:val="61EF1284"/>
    <w:rsid w:val="621F23B2"/>
    <w:rsid w:val="622F444B"/>
    <w:rsid w:val="62425488"/>
    <w:rsid w:val="62CF4C02"/>
    <w:rsid w:val="62E311A1"/>
    <w:rsid w:val="62EE4B7D"/>
    <w:rsid w:val="63127F74"/>
    <w:rsid w:val="631E4473"/>
    <w:rsid w:val="635815D4"/>
    <w:rsid w:val="637079FC"/>
    <w:rsid w:val="63977DC5"/>
    <w:rsid w:val="639B1F8A"/>
    <w:rsid w:val="639F208E"/>
    <w:rsid w:val="63C33B5C"/>
    <w:rsid w:val="63D85DB3"/>
    <w:rsid w:val="63F62A44"/>
    <w:rsid w:val="64020175"/>
    <w:rsid w:val="64022A19"/>
    <w:rsid w:val="641F7C94"/>
    <w:rsid w:val="642B41A0"/>
    <w:rsid w:val="644123F9"/>
    <w:rsid w:val="64954D37"/>
    <w:rsid w:val="649C449B"/>
    <w:rsid w:val="64B17C12"/>
    <w:rsid w:val="64DF4A82"/>
    <w:rsid w:val="64E212A5"/>
    <w:rsid w:val="64F03FE8"/>
    <w:rsid w:val="65073604"/>
    <w:rsid w:val="6515123B"/>
    <w:rsid w:val="65195A9E"/>
    <w:rsid w:val="655D6705"/>
    <w:rsid w:val="65612B36"/>
    <w:rsid w:val="6578108B"/>
    <w:rsid w:val="65804114"/>
    <w:rsid w:val="658D1309"/>
    <w:rsid w:val="659D7B43"/>
    <w:rsid w:val="65B16243"/>
    <w:rsid w:val="65C77624"/>
    <w:rsid w:val="65FE3FD1"/>
    <w:rsid w:val="660C3030"/>
    <w:rsid w:val="66171493"/>
    <w:rsid w:val="664F6371"/>
    <w:rsid w:val="66715442"/>
    <w:rsid w:val="667E4FD9"/>
    <w:rsid w:val="66E11A66"/>
    <w:rsid w:val="6778643A"/>
    <w:rsid w:val="67861EA9"/>
    <w:rsid w:val="67AC200E"/>
    <w:rsid w:val="680513C5"/>
    <w:rsid w:val="68333EB8"/>
    <w:rsid w:val="685C45E8"/>
    <w:rsid w:val="688759DC"/>
    <w:rsid w:val="688821EC"/>
    <w:rsid w:val="68A506FF"/>
    <w:rsid w:val="68A666FA"/>
    <w:rsid w:val="68A703B2"/>
    <w:rsid w:val="68AA1A4E"/>
    <w:rsid w:val="68CA1553"/>
    <w:rsid w:val="68D777F6"/>
    <w:rsid w:val="68E47C6B"/>
    <w:rsid w:val="69215F48"/>
    <w:rsid w:val="692821CE"/>
    <w:rsid w:val="694915A1"/>
    <w:rsid w:val="69510A65"/>
    <w:rsid w:val="696A33D6"/>
    <w:rsid w:val="698E2199"/>
    <w:rsid w:val="69C34D93"/>
    <w:rsid w:val="69C70C35"/>
    <w:rsid w:val="69D45DF6"/>
    <w:rsid w:val="6A022F6E"/>
    <w:rsid w:val="6A0748FE"/>
    <w:rsid w:val="6A3B3379"/>
    <w:rsid w:val="6A504391"/>
    <w:rsid w:val="6A850FE5"/>
    <w:rsid w:val="6AB14F1A"/>
    <w:rsid w:val="6AB318B7"/>
    <w:rsid w:val="6AB334AA"/>
    <w:rsid w:val="6AC76993"/>
    <w:rsid w:val="6AF96DFC"/>
    <w:rsid w:val="6B021B88"/>
    <w:rsid w:val="6B08698C"/>
    <w:rsid w:val="6B263887"/>
    <w:rsid w:val="6B844E62"/>
    <w:rsid w:val="6BA47612"/>
    <w:rsid w:val="6BCF27DE"/>
    <w:rsid w:val="6BD75578"/>
    <w:rsid w:val="6BEC623D"/>
    <w:rsid w:val="6BEE21EC"/>
    <w:rsid w:val="6BFD237F"/>
    <w:rsid w:val="6C712591"/>
    <w:rsid w:val="6C927E22"/>
    <w:rsid w:val="6C950CF9"/>
    <w:rsid w:val="6C980AD3"/>
    <w:rsid w:val="6CEA6C89"/>
    <w:rsid w:val="6CF92406"/>
    <w:rsid w:val="6D194F26"/>
    <w:rsid w:val="6D341AB4"/>
    <w:rsid w:val="6D5D0836"/>
    <w:rsid w:val="6DA26904"/>
    <w:rsid w:val="6DCA7E54"/>
    <w:rsid w:val="6DD8200B"/>
    <w:rsid w:val="6DDB1E8F"/>
    <w:rsid w:val="6DF3352B"/>
    <w:rsid w:val="6DF57294"/>
    <w:rsid w:val="6DFA2E91"/>
    <w:rsid w:val="6E031EEB"/>
    <w:rsid w:val="6E0F2AA4"/>
    <w:rsid w:val="6E5940C5"/>
    <w:rsid w:val="6E5B7BE2"/>
    <w:rsid w:val="6E7B197D"/>
    <w:rsid w:val="6EB40C70"/>
    <w:rsid w:val="6F016EEF"/>
    <w:rsid w:val="6F0854C4"/>
    <w:rsid w:val="6F1F000E"/>
    <w:rsid w:val="6F2A6873"/>
    <w:rsid w:val="6F832C13"/>
    <w:rsid w:val="6F88503E"/>
    <w:rsid w:val="6F8C474D"/>
    <w:rsid w:val="6FAA6ABB"/>
    <w:rsid w:val="6FB07024"/>
    <w:rsid w:val="6FD6651D"/>
    <w:rsid w:val="700A749C"/>
    <w:rsid w:val="703674CE"/>
    <w:rsid w:val="703C65B9"/>
    <w:rsid w:val="703D260A"/>
    <w:rsid w:val="705022F5"/>
    <w:rsid w:val="70505810"/>
    <w:rsid w:val="708446DD"/>
    <w:rsid w:val="708967F3"/>
    <w:rsid w:val="70980D09"/>
    <w:rsid w:val="712279A1"/>
    <w:rsid w:val="712A65F9"/>
    <w:rsid w:val="715C73A4"/>
    <w:rsid w:val="715C7408"/>
    <w:rsid w:val="71756E76"/>
    <w:rsid w:val="719A549A"/>
    <w:rsid w:val="71C06B36"/>
    <w:rsid w:val="71D06227"/>
    <w:rsid w:val="71E10E40"/>
    <w:rsid w:val="72083EB3"/>
    <w:rsid w:val="72281AF0"/>
    <w:rsid w:val="72490E6F"/>
    <w:rsid w:val="726C0B97"/>
    <w:rsid w:val="72AF5315"/>
    <w:rsid w:val="72BD1842"/>
    <w:rsid w:val="72C9243F"/>
    <w:rsid w:val="72CE06B3"/>
    <w:rsid w:val="72EC56A0"/>
    <w:rsid w:val="73161E1B"/>
    <w:rsid w:val="73245776"/>
    <w:rsid w:val="73457033"/>
    <w:rsid w:val="735704C0"/>
    <w:rsid w:val="7365233C"/>
    <w:rsid w:val="7388308F"/>
    <w:rsid w:val="739A7EA7"/>
    <w:rsid w:val="73D45E82"/>
    <w:rsid w:val="73E604E2"/>
    <w:rsid w:val="73EB6FEF"/>
    <w:rsid w:val="74382CC0"/>
    <w:rsid w:val="74695ADA"/>
    <w:rsid w:val="74BF78B6"/>
    <w:rsid w:val="74C723C4"/>
    <w:rsid w:val="75351783"/>
    <w:rsid w:val="753E156D"/>
    <w:rsid w:val="7545503B"/>
    <w:rsid w:val="75466BE0"/>
    <w:rsid w:val="75505DB0"/>
    <w:rsid w:val="756238EF"/>
    <w:rsid w:val="75785341"/>
    <w:rsid w:val="757B30A3"/>
    <w:rsid w:val="757C6146"/>
    <w:rsid w:val="757E3949"/>
    <w:rsid w:val="75A92291"/>
    <w:rsid w:val="75AC7018"/>
    <w:rsid w:val="75AC7964"/>
    <w:rsid w:val="75E83018"/>
    <w:rsid w:val="75FB5EFA"/>
    <w:rsid w:val="7641144A"/>
    <w:rsid w:val="7641235C"/>
    <w:rsid w:val="766E503D"/>
    <w:rsid w:val="769233BA"/>
    <w:rsid w:val="76AE2DA0"/>
    <w:rsid w:val="76E93376"/>
    <w:rsid w:val="77003CF1"/>
    <w:rsid w:val="773808DB"/>
    <w:rsid w:val="775D0DA7"/>
    <w:rsid w:val="778C6ACB"/>
    <w:rsid w:val="778F54D6"/>
    <w:rsid w:val="779336EB"/>
    <w:rsid w:val="77AC3E08"/>
    <w:rsid w:val="77F97BDC"/>
    <w:rsid w:val="77FC1658"/>
    <w:rsid w:val="780C7F78"/>
    <w:rsid w:val="784D09A7"/>
    <w:rsid w:val="78801C2E"/>
    <w:rsid w:val="78995604"/>
    <w:rsid w:val="78D64E21"/>
    <w:rsid w:val="78DC682C"/>
    <w:rsid w:val="78DF2E53"/>
    <w:rsid w:val="78EA1DF9"/>
    <w:rsid w:val="78F67446"/>
    <w:rsid w:val="79227186"/>
    <w:rsid w:val="79922530"/>
    <w:rsid w:val="79D306C2"/>
    <w:rsid w:val="79DB4A5E"/>
    <w:rsid w:val="79E22828"/>
    <w:rsid w:val="7A2A2B56"/>
    <w:rsid w:val="7A70472F"/>
    <w:rsid w:val="7A7822B9"/>
    <w:rsid w:val="7A7E5B1A"/>
    <w:rsid w:val="7AA16FAD"/>
    <w:rsid w:val="7AAD08A8"/>
    <w:rsid w:val="7ABC1782"/>
    <w:rsid w:val="7AD24044"/>
    <w:rsid w:val="7AEE5C2D"/>
    <w:rsid w:val="7AFE7083"/>
    <w:rsid w:val="7B2E43D0"/>
    <w:rsid w:val="7B4C51AC"/>
    <w:rsid w:val="7B59678B"/>
    <w:rsid w:val="7B8C44E3"/>
    <w:rsid w:val="7BE272DE"/>
    <w:rsid w:val="7BF67A5A"/>
    <w:rsid w:val="7C601011"/>
    <w:rsid w:val="7C632C2B"/>
    <w:rsid w:val="7C691D79"/>
    <w:rsid w:val="7C9116C4"/>
    <w:rsid w:val="7CA70801"/>
    <w:rsid w:val="7CE60589"/>
    <w:rsid w:val="7CEB70D7"/>
    <w:rsid w:val="7D1820E8"/>
    <w:rsid w:val="7D3FC450"/>
    <w:rsid w:val="7D4B40B8"/>
    <w:rsid w:val="7D99140B"/>
    <w:rsid w:val="7DEB1E75"/>
    <w:rsid w:val="7E180665"/>
    <w:rsid w:val="7E1D744A"/>
    <w:rsid w:val="7E1F01BB"/>
    <w:rsid w:val="7E204B11"/>
    <w:rsid w:val="7E2F666A"/>
    <w:rsid w:val="7E794406"/>
    <w:rsid w:val="7E8F2BCB"/>
    <w:rsid w:val="7E9B1302"/>
    <w:rsid w:val="7E9E5F01"/>
    <w:rsid w:val="7ED44289"/>
    <w:rsid w:val="7EF90F7F"/>
    <w:rsid w:val="7F0B7C5D"/>
    <w:rsid w:val="7F306A01"/>
    <w:rsid w:val="7F3A3CD5"/>
    <w:rsid w:val="7F496B37"/>
    <w:rsid w:val="7F5632A6"/>
    <w:rsid w:val="7F7829DE"/>
    <w:rsid w:val="7F8A33B6"/>
    <w:rsid w:val="7F94340B"/>
    <w:rsid w:val="7F971479"/>
    <w:rsid w:val="7FD646B0"/>
    <w:rsid w:val="7FEF09F8"/>
    <w:rsid w:val="BB7BE31F"/>
    <w:rsid w:val="CDFFD9E5"/>
    <w:rsid w:val="E8D38672"/>
    <w:rsid w:val="EB5F801A"/>
  </w:rsids>
  <m:mathPr>
    <m:mathFont m:val="Cambria Math"/>
    <m:brkBin m:val="before"/>
    <m:brkBinSub m:val="--"/>
    <m:smallFrac m:val="1"/>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iPriority="99" w:name="annotation text" w:locked="1"/>
    <w:lsdException w:qFormat="1" w:uiPriority="99" w:semiHidden="0" w:name="header" w:locked="1"/>
    <w:lsdException w:qFormat="1" w:unhideWhenUsed="0" w:uiPriority="99" w:semiHidden="0" w:name="footer"/>
    <w:lsdException w:uiPriority="99" w:name="index heading" w:locked="1"/>
    <w:lsdException w:qFormat="1" w:unhideWhenUsed="0" w:uiPriority="99" w:semiHidden="0" w:name="caption"/>
    <w:lsdException w:qFormat="1" w:unhideWhenUsed="0" w:uiPriority="99" w:semiHidden="0" w:name="table of figures"/>
    <w:lsdException w:uiPriority="99" w:name="envelope address" w:locked="1"/>
    <w:lsdException w:uiPriority="99" w:name="envelope return" w:locked="1"/>
    <w:lsdException w:uiPriority="99" w:name="footnote reference" w:locked="1"/>
    <w:lsdException w:qFormat="1"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qFormat="1" w:uiPriority="99" w:name="HTML Cite" w:locked="1"/>
    <w:lsdException w:qFormat="1"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00" w:lineRule="exact"/>
      <w:ind w:firstLine="200" w:firstLineChars="200"/>
      <w:jc w:val="both"/>
    </w:pPr>
    <w:rPr>
      <w:rFonts w:ascii="Calibri" w:hAnsi="Calibri" w:eastAsia="宋体" w:cs="Times New Roman"/>
      <w:kern w:val="2"/>
      <w:sz w:val="24"/>
      <w:szCs w:val="22"/>
      <w:lang w:val="en-US" w:eastAsia="zh-CN" w:bidi="ar-SA"/>
    </w:rPr>
  </w:style>
  <w:style w:type="paragraph" w:styleId="2">
    <w:name w:val="heading 1"/>
    <w:basedOn w:val="1"/>
    <w:next w:val="1"/>
    <w:link w:val="28"/>
    <w:autoRedefine/>
    <w:qFormat/>
    <w:uiPriority w:val="99"/>
    <w:pPr>
      <w:keepNext/>
      <w:keepLines/>
      <w:spacing w:before="340" w:after="330" w:line="240" w:lineRule="auto"/>
      <w:ind w:firstLine="0" w:firstLineChars="0"/>
      <w:jc w:val="left"/>
      <w:outlineLvl w:val="0"/>
    </w:pPr>
    <w:rPr>
      <w:rFonts w:eastAsia="黑体"/>
      <w:bCs/>
      <w:kern w:val="44"/>
      <w:sz w:val="30"/>
      <w:szCs w:val="44"/>
    </w:rPr>
  </w:style>
  <w:style w:type="paragraph" w:styleId="3">
    <w:name w:val="heading 2"/>
    <w:basedOn w:val="1"/>
    <w:next w:val="1"/>
    <w:link w:val="29"/>
    <w:autoRedefine/>
    <w:qFormat/>
    <w:uiPriority w:val="99"/>
    <w:pPr>
      <w:keepNext/>
      <w:keepLines/>
      <w:spacing w:beforeLines="50" w:afterLines="50" w:line="240" w:lineRule="auto"/>
      <w:ind w:firstLine="0" w:firstLineChars="0"/>
      <w:jc w:val="left"/>
      <w:outlineLvl w:val="1"/>
    </w:pPr>
    <w:rPr>
      <w:rFonts w:ascii="Cambria" w:hAnsi="Cambria" w:eastAsiaTheme="majorEastAsia"/>
      <w:kern w:val="0"/>
      <w:sz w:val="21"/>
      <w:szCs w:val="28"/>
    </w:rPr>
  </w:style>
  <w:style w:type="paragraph" w:styleId="4">
    <w:name w:val="heading 3"/>
    <w:basedOn w:val="1"/>
    <w:next w:val="1"/>
    <w:link w:val="30"/>
    <w:autoRedefine/>
    <w:qFormat/>
    <w:uiPriority w:val="99"/>
    <w:pPr>
      <w:keepNext/>
      <w:keepLines/>
      <w:spacing w:before="260" w:after="260" w:line="240" w:lineRule="auto"/>
      <w:ind w:firstLine="0" w:firstLineChars="0"/>
      <w:jc w:val="left"/>
      <w:outlineLvl w:val="2"/>
    </w:pPr>
    <w:rPr>
      <w:rFonts w:eastAsia="黑体"/>
      <w:bCs/>
      <w:kern w:val="0"/>
      <w:szCs w:val="32"/>
    </w:rPr>
  </w:style>
  <w:style w:type="paragraph" w:styleId="5">
    <w:name w:val="heading 4"/>
    <w:basedOn w:val="1"/>
    <w:next w:val="1"/>
    <w:link w:val="31"/>
    <w:autoRedefine/>
    <w:qFormat/>
    <w:uiPriority w:val="99"/>
    <w:pPr>
      <w:keepNext/>
      <w:keepLines/>
      <w:spacing w:before="280"/>
      <w:ind w:firstLine="0" w:firstLineChars="0"/>
      <w:jc w:val="center"/>
      <w:outlineLvl w:val="3"/>
    </w:pPr>
    <w:rPr>
      <w:rFonts w:ascii="Cambria" w:hAnsi="Cambria"/>
      <w:b/>
      <w:bCs/>
      <w:kern w:val="0"/>
      <w:sz w:val="21"/>
      <w:szCs w:val="28"/>
    </w:rPr>
  </w:style>
  <w:style w:type="character" w:default="1" w:styleId="20">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6">
    <w:name w:val="caption"/>
    <w:basedOn w:val="1"/>
    <w:next w:val="1"/>
    <w:autoRedefine/>
    <w:qFormat/>
    <w:uiPriority w:val="99"/>
    <w:rPr>
      <w:rFonts w:ascii="Cambria" w:hAnsi="Cambria" w:eastAsia="黑体"/>
      <w:sz w:val="20"/>
      <w:szCs w:val="20"/>
    </w:rPr>
  </w:style>
  <w:style w:type="paragraph" w:styleId="7">
    <w:name w:val="Document Map"/>
    <w:basedOn w:val="1"/>
    <w:link w:val="32"/>
    <w:autoRedefine/>
    <w:semiHidden/>
    <w:qFormat/>
    <w:uiPriority w:val="99"/>
    <w:rPr>
      <w:rFonts w:ascii="宋体"/>
      <w:sz w:val="18"/>
      <w:szCs w:val="18"/>
    </w:rPr>
  </w:style>
  <w:style w:type="paragraph" w:styleId="8">
    <w:name w:val="annotation text"/>
    <w:basedOn w:val="1"/>
    <w:autoRedefine/>
    <w:semiHidden/>
    <w:unhideWhenUsed/>
    <w:qFormat/>
    <w:locked/>
    <w:uiPriority w:val="99"/>
    <w:pPr>
      <w:jc w:val="left"/>
    </w:pPr>
  </w:style>
  <w:style w:type="paragraph" w:styleId="9">
    <w:name w:val="toc 3"/>
    <w:basedOn w:val="1"/>
    <w:next w:val="1"/>
    <w:autoRedefine/>
    <w:qFormat/>
    <w:uiPriority w:val="39"/>
    <w:pPr>
      <w:tabs>
        <w:tab w:val="right" w:leader="dot" w:pos="8296"/>
      </w:tabs>
      <w:ind w:left="840" w:leftChars="400"/>
    </w:pPr>
  </w:style>
  <w:style w:type="paragraph" w:styleId="10">
    <w:name w:val="Date"/>
    <w:basedOn w:val="1"/>
    <w:next w:val="1"/>
    <w:link w:val="33"/>
    <w:autoRedefine/>
    <w:semiHidden/>
    <w:qFormat/>
    <w:uiPriority w:val="99"/>
    <w:pPr>
      <w:ind w:left="100" w:leftChars="2500"/>
    </w:pPr>
    <w:rPr>
      <w:kern w:val="0"/>
      <w:sz w:val="20"/>
      <w:szCs w:val="20"/>
    </w:rPr>
  </w:style>
  <w:style w:type="paragraph" w:styleId="11">
    <w:name w:val="Balloon Text"/>
    <w:basedOn w:val="1"/>
    <w:link w:val="34"/>
    <w:autoRedefine/>
    <w:semiHidden/>
    <w:qFormat/>
    <w:uiPriority w:val="99"/>
    <w:rPr>
      <w:kern w:val="0"/>
      <w:sz w:val="18"/>
      <w:szCs w:val="18"/>
    </w:rPr>
  </w:style>
  <w:style w:type="paragraph" w:styleId="12">
    <w:name w:val="footer"/>
    <w:basedOn w:val="1"/>
    <w:link w:val="35"/>
    <w:autoRedefine/>
    <w:qFormat/>
    <w:uiPriority w:val="99"/>
    <w:pPr>
      <w:tabs>
        <w:tab w:val="center" w:pos="4153"/>
        <w:tab w:val="right" w:pos="8306"/>
      </w:tabs>
      <w:snapToGrid w:val="0"/>
      <w:jc w:val="left"/>
    </w:pPr>
    <w:rPr>
      <w:sz w:val="18"/>
      <w:szCs w:val="18"/>
    </w:rPr>
  </w:style>
  <w:style w:type="paragraph" w:styleId="13">
    <w:name w:val="header"/>
    <w:basedOn w:val="1"/>
    <w:link w:val="51"/>
    <w:autoRedefine/>
    <w:unhideWhenUsed/>
    <w:qFormat/>
    <w:locked/>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14">
    <w:name w:val="toc 1"/>
    <w:basedOn w:val="1"/>
    <w:next w:val="1"/>
    <w:autoRedefine/>
    <w:qFormat/>
    <w:uiPriority w:val="39"/>
    <w:pPr>
      <w:tabs>
        <w:tab w:val="right" w:leader="dot" w:pos="8296"/>
      </w:tabs>
      <w:snapToGrid w:val="0"/>
      <w:spacing w:line="312" w:lineRule="auto"/>
    </w:pPr>
    <w:rPr>
      <w:rFonts w:ascii="黑体" w:hAnsi="华文仿宋" w:eastAsia="黑体"/>
      <w:szCs w:val="24"/>
    </w:rPr>
  </w:style>
  <w:style w:type="paragraph" w:styleId="15">
    <w:name w:val="table of figures"/>
    <w:basedOn w:val="1"/>
    <w:next w:val="1"/>
    <w:autoRedefine/>
    <w:qFormat/>
    <w:uiPriority w:val="99"/>
    <w:pPr>
      <w:ind w:left="420" w:hanging="420"/>
      <w:jc w:val="left"/>
    </w:pPr>
    <w:rPr>
      <w:rFonts w:cs="Calibri"/>
      <w:smallCaps/>
      <w:sz w:val="20"/>
      <w:szCs w:val="20"/>
    </w:rPr>
  </w:style>
  <w:style w:type="paragraph" w:styleId="16">
    <w:name w:val="toc 2"/>
    <w:basedOn w:val="1"/>
    <w:next w:val="1"/>
    <w:autoRedefine/>
    <w:qFormat/>
    <w:uiPriority w:val="39"/>
    <w:pPr>
      <w:tabs>
        <w:tab w:val="right" w:leader="dot" w:pos="8296"/>
      </w:tabs>
      <w:snapToGrid w:val="0"/>
      <w:spacing w:line="300" w:lineRule="auto"/>
      <w:ind w:left="210"/>
      <w:jc w:val="center"/>
    </w:pPr>
    <w:rPr>
      <w:rFonts w:cs="Calibri"/>
      <w:smallCaps/>
      <w:szCs w:val="21"/>
    </w:rPr>
  </w:style>
  <w:style w:type="paragraph" w:styleId="17">
    <w:name w:val="Normal (Web)"/>
    <w:basedOn w:val="1"/>
    <w:autoRedefine/>
    <w:qFormat/>
    <w:uiPriority w:val="99"/>
    <w:pPr>
      <w:widowControl/>
      <w:spacing w:before="100" w:beforeAutospacing="1" w:after="100" w:afterAutospacing="1"/>
      <w:jc w:val="left"/>
    </w:pPr>
    <w:rPr>
      <w:rFonts w:ascii="宋体" w:hAnsi="宋体" w:cs="宋体"/>
      <w:kern w:val="0"/>
      <w:szCs w:val="24"/>
    </w:rPr>
  </w:style>
  <w:style w:type="table" w:styleId="19">
    <w:name w:val="Table Grid"/>
    <w:basedOn w:val="18"/>
    <w:autoRedefine/>
    <w:qFormat/>
    <w:uiPriority w:val="9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autoRedefine/>
    <w:qFormat/>
    <w:uiPriority w:val="99"/>
    <w:rPr>
      <w:rFonts w:cs="Times New Roman"/>
      <w:b/>
    </w:rPr>
  </w:style>
  <w:style w:type="character" w:styleId="22">
    <w:name w:val="FollowedHyperlink"/>
    <w:basedOn w:val="20"/>
    <w:semiHidden/>
    <w:unhideWhenUsed/>
    <w:qFormat/>
    <w:locked/>
    <w:uiPriority w:val="99"/>
    <w:rPr>
      <w:color w:val="323232"/>
      <w:u w:val="none"/>
    </w:rPr>
  </w:style>
  <w:style w:type="character" w:styleId="23">
    <w:name w:val="Emphasis"/>
    <w:basedOn w:val="20"/>
    <w:qFormat/>
    <w:uiPriority w:val="99"/>
    <w:rPr>
      <w:rFonts w:cs="Times New Roman"/>
      <w:i/>
      <w:iCs/>
    </w:rPr>
  </w:style>
  <w:style w:type="character" w:styleId="24">
    <w:name w:val="Hyperlink"/>
    <w:basedOn w:val="20"/>
    <w:qFormat/>
    <w:uiPriority w:val="99"/>
    <w:rPr>
      <w:rFonts w:cs="Times New Roman"/>
      <w:color w:val="0000FF"/>
      <w:u w:val="single"/>
    </w:rPr>
  </w:style>
  <w:style w:type="character" w:styleId="25">
    <w:name w:val="HTML Code"/>
    <w:basedOn w:val="20"/>
    <w:semiHidden/>
    <w:unhideWhenUsed/>
    <w:qFormat/>
    <w:locked/>
    <w:uiPriority w:val="99"/>
    <w:rPr>
      <w:rFonts w:ascii="Courier New" w:hAnsi="Courier New"/>
      <w:sz w:val="20"/>
    </w:rPr>
  </w:style>
  <w:style w:type="character" w:styleId="26">
    <w:name w:val="annotation reference"/>
    <w:basedOn w:val="20"/>
    <w:semiHidden/>
    <w:unhideWhenUsed/>
    <w:qFormat/>
    <w:locked/>
    <w:uiPriority w:val="99"/>
    <w:rPr>
      <w:sz w:val="21"/>
      <w:szCs w:val="21"/>
    </w:rPr>
  </w:style>
  <w:style w:type="character" w:styleId="27">
    <w:name w:val="HTML Cite"/>
    <w:basedOn w:val="20"/>
    <w:semiHidden/>
    <w:unhideWhenUsed/>
    <w:qFormat/>
    <w:locked/>
    <w:uiPriority w:val="99"/>
  </w:style>
  <w:style w:type="character" w:customStyle="1" w:styleId="28">
    <w:name w:val="标题 1 字符"/>
    <w:basedOn w:val="20"/>
    <w:link w:val="2"/>
    <w:qFormat/>
    <w:locked/>
    <w:uiPriority w:val="99"/>
    <w:rPr>
      <w:rFonts w:ascii="Calibri" w:hAnsi="Calibri" w:eastAsia="黑体" w:cs="Times New Roman"/>
      <w:bCs/>
      <w:kern w:val="44"/>
      <w:sz w:val="44"/>
      <w:szCs w:val="44"/>
    </w:rPr>
  </w:style>
  <w:style w:type="character" w:customStyle="1" w:styleId="29">
    <w:name w:val="标题 2 字符"/>
    <w:basedOn w:val="20"/>
    <w:link w:val="3"/>
    <w:qFormat/>
    <w:locked/>
    <w:uiPriority w:val="99"/>
    <w:rPr>
      <w:rFonts w:ascii="Cambria" w:hAnsi="Cambria" w:eastAsiaTheme="majorEastAsia"/>
      <w:sz w:val="21"/>
      <w:szCs w:val="28"/>
    </w:rPr>
  </w:style>
  <w:style w:type="character" w:customStyle="1" w:styleId="30">
    <w:name w:val="标题 3 字符"/>
    <w:basedOn w:val="20"/>
    <w:link w:val="4"/>
    <w:qFormat/>
    <w:locked/>
    <w:uiPriority w:val="99"/>
    <w:rPr>
      <w:rFonts w:ascii="Calibri" w:hAnsi="Calibri" w:eastAsia="黑体" w:cs="Times New Roman"/>
      <w:bCs/>
      <w:kern w:val="0"/>
      <w:sz w:val="32"/>
      <w:szCs w:val="32"/>
    </w:rPr>
  </w:style>
  <w:style w:type="character" w:customStyle="1" w:styleId="31">
    <w:name w:val="标题 4 字符"/>
    <w:basedOn w:val="20"/>
    <w:link w:val="5"/>
    <w:qFormat/>
    <w:locked/>
    <w:uiPriority w:val="99"/>
    <w:rPr>
      <w:rFonts w:ascii="Cambria" w:hAnsi="Cambria" w:eastAsia="宋体" w:cs="Times New Roman"/>
      <w:b/>
      <w:bCs/>
      <w:kern w:val="0"/>
      <w:sz w:val="28"/>
      <w:szCs w:val="28"/>
    </w:rPr>
  </w:style>
  <w:style w:type="character" w:customStyle="1" w:styleId="32">
    <w:name w:val="文档结构图 字符"/>
    <w:basedOn w:val="20"/>
    <w:link w:val="7"/>
    <w:semiHidden/>
    <w:qFormat/>
    <w:locked/>
    <w:uiPriority w:val="99"/>
    <w:rPr>
      <w:rFonts w:ascii="宋体" w:hAnsi="Calibri" w:eastAsia="宋体" w:cs="Times New Roman"/>
      <w:sz w:val="18"/>
      <w:szCs w:val="18"/>
    </w:rPr>
  </w:style>
  <w:style w:type="character" w:customStyle="1" w:styleId="33">
    <w:name w:val="日期 字符"/>
    <w:basedOn w:val="20"/>
    <w:link w:val="10"/>
    <w:semiHidden/>
    <w:qFormat/>
    <w:locked/>
    <w:uiPriority w:val="99"/>
    <w:rPr>
      <w:rFonts w:ascii="Calibri" w:hAnsi="Calibri" w:eastAsia="宋体" w:cs="Times New Roman"/>
      <w:kern w:val="0"/>
      <w:sz w:val="20"/>
      <w:szCs w:val="20"/>
    </w:rPr>
  </w:style>
  <w:style w:type="character" w:customStyle="1" w:styleId="34">
    <w:name w:val="批注框文本 字符"/>
    <w:basedOn w:val="20"/>
    <w:link w:val="11"/>
    <w:semiHidden/>
    <w:qFormat/>
    <w:locked/>
    <w:uiPriority w:val="99"/>
    <w:rPr>
      <w:rFonts w:ascii="Calibri" w:hAnsi="Calibri" w:eastAsia="宋体" w:cs="Times New Roman"/>
      <w:kern w:val="0"/>
      <w:sz w:val="18"/>
      <w:szCs w:val="18"/>
    </w:rPr>
  </w:style>
  <w:style w:type="character" w:customStyle="1" w:styleId="35">
    <w:name w:val="页脚 字符"/>
    <w:basedOn w:val="20"/>
    <w:link w:val="12"/>
    <w:qFormat/>
    <w:locked/>
    <w:uiPriority w:val="99"/>
    <w:rPr>
      <w:rFonts w:cs="Times New Roman"/>
      <w:sz w:val="18"/>
      <w:szCs w:val="18"/>
    </w:rPr>
  </w:style>
  <w:style w:type="paragraph" w:customStyle="1" w:styleId="36">
    <w:name w:val="Default"/>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7">
    <w:name w:val="列出段落1"/>
    <w:basedOn w:val="1"/>
    <w:qFormat/>
    <w:uiPriority w:val="99"/>
    <w:pPr>
      <w:ind w:firstLine="420"/>
    </w:pPr>
    <w:rPr>
      <w:rFonts w:ascii="Times New Roman" w:hAnsi="Times New Roman"/>
      <w:szCs w:val="21"/>
    </w:rPr>
  </w:style>
  <w:style w:type="paragraph" w:customStyle="1" w:styleId="38">
    <w:name w:val="标题1"/>
    <w:basedOn w:val="1"/>
    <w:link w:val="39"/>
    <w:qFormat/>
    <w:uiPriority w:val="99"/>
    <w:pPr>
      <w:tabs>
        <w:tab w:val="left" w:pos="180"/>
      </w:tabs>
      <w:spacing w:line="500" w:lineRule="exact"/>
      <w:ind w:firstLine="578" w:firstLineChars="192"/>
      <w:jc w:val="left"/>
      <w:outlineLvl w:val="0"/>
    </w:pPr>
    <w:rPr>
      <w:rFonts w:ascii="仿宋_GB2312" w:hAnsi="Times New Roman" w:eastAsia="仿宋_GB2312"/>
      <w:b/>
      <w:color w:val="000000"/>
      <w:kern w:val="0"/>
      <w:sz w:val="20"/>
      <w:szCs w:val="20"/>
    </w:rPr>
  </w:style>
  <w:style w:type="character" w:customStyle="1" w:styleId="39">
    <w:name w:val="标题1 Char"/>
    <w:link w:val="38"/>
    <w:qFormat/>
    <w:locked/>
    <w:uiPriority w:val="99"/>
    <w:rPr>
      <w:rFonts w:ascii="仿宋_GB2312" w:hAnsi="Times New Roman" w:eastAsia="仿宋_GB2312"/>
      <w:b/>
      <w:color w:val="000000"/>
      <w:kern w:val="0"/>
      <w:sz w:val="20"/>
    </w:rPr>
  </w:style>
  <w:style w:type="paragraph" w:customStyle="1" w:styleId="40">
    <w:name w:val="TOC 标题1"/>
    <w:basedOn w:val="2"/>
    <w:next w:val="1"/>
    <w:qFormat/>
    <w:uiPriority w:val="99"/>
    <w:pPr>
      <w:widowControl/>
      <w:spacing w:before="480" w:after="0" w:line="276" w:lineRule="auto"/>
      <w:outlineLvl w:val="9"/>
    </w:pPr>
    <w:rPr>
      <w:rFonts w:ascii="Cambria" w:hAnsi="Cambria"/>
      <w:color w:val="365F91"/>
      <w:kern w:val="0"/>
      <w:sz w:val="28"/>
      <w:szCs w:val="28"/>
    </w:rPr>
  </w:style>
  <w:style w:type="character" w:customStyle="1" w:styleId="41">
    <w:name w:val="font01"/>
    <w:basedOn w:val="20"/>
    <w:qFormat/>
    <w:uiPriority w:val="0"/>
    <w:rPr>
      <w:rFonts w:hint="default" w:ascii="Times New Roman" w:hAnsi="Times New Roman" w:cs="Times New Roman"/>
      <w:color w:val="000000"/>
      <w:sz w:val="21"/>
      <w:szCs w:val="21"/>
      <w:u w:val="none"/>
    </w:rPr>
  </w:style>
  <w:style w:type="character" w:customStyle="1" w:styleId="42">
    <w:name w:val="font11"/>
    <w:basedOn w:val="20"/>
    <w:qFormat/>
    <w:uiPriority w:val="0"/>
    <w:rPr>
      <w:rFonts w:hint="eastAsia" w:ascii="宋体" w:hAnsi="宋体" w:eastAsia="宋体" w:cs="宋体"/>
      <w:color w:val="000000"/>
      <w:sz w:val="21"/>
      <w:szCs w:val="21"/>
      <w:u w:val="none"/>
    </w:rPr>
  </w:style>
  <w:style w:type="character" w:customStyle="1" w:styleId="43">
    <w:name w:val="font21"/>
    <w:basedOn w:val="20"/>
    <w:qFormat/>
    <w:uiPriority w:val="0"/>
    <w:rPr>
      <w:rFonts w:hint="eastAsia" w:ascii="宋体" w:hAnsi="宋体" w:eastAsia="宋体" w:cs="宋体"/>
      <w:color w:val="000000"/>
      <w:sz w:val="21"/>
      <w:szCs w:val="21"/>
      <w:u w:val="none"/>
    </w:rPr>
  </w:style>
  <w:style w:type="character" w:customStyle="1" w:styleId="44">
    <w:name w:val="font81"/>
    <w:basedOn w:val="20"/>
    <w:qFormat/>
    <w:uiPriority w:val="0"/>
    <w:rPr>
      <w:rFonts w:ascii="Arial Unicode MS" w:hAnsi="Arial Unicode MS" w:eastAsia="Arial Unicode MS" w:cs="Arial Unicode MS"/>
      <w:color w:val="000000"/>
      <w:sz w:val="20"/>
      <w:szCs w:val="20"/>
      <w:u w:val="none"/>
    </w:rPr>
  </w:style>
  <w:style w:type="character" w:customStyle="1" w:styleId="45">
    <w:name w:val="font31"/>
    <w:basedOn w:val="20"/>
    <w:qFormat/>
    <w:uiPriority w:val="0"/>
    <w:rPr>
      <w:rFonts w:hint="eastAsia" w:ascii="Arial Unicode MS" w:hAnsi="Arial Unicode MS" w:eastAsia="Arial Unicode MS" w:cs="Arial Unicode MS"/>
      <w:color w:val="000000"/>
      <w:sz w:val="20"/>
      <w:szCs w:val="20"/>
      <w:u w:val="none"/>
    </w:rPr>
  </w:style>
  <w:style w:type="character" w:customStyle="1" w:styleId="46">
    <w:name w:val="font71"/>
    <w:basedOn w:val="20"/>
    <w:qFormat/>
    <w:uiPriority w:val="0"/>
    <w:rPr>
      <w:rFonts w:hint="default" w:ascii="Arial" w:hAnsi="Arial" w:cs="Arial"/>
      <w:color w:val="000000"/>
      <w:sz w:val="20"/>
      <w:szCs w:val="20"/>
      <w:u w:val="none"/>
    </w:rPr>
  </w:style>
  <w:style w:type="character" w:customStyle="1" w:styleId="47">
    <w:name w:val="font41"/>
    <w:basedOn w:val="20"/>
    <w:qFormat/>
    <w:uiPriority w:val="0"/>
    <w:rPr>
      <w:rFonts w:hint="default" w:ascii="Arial" w:hAnsi="Arial" w:cs="Arial"/>
      <w:color w:val="000000"/>
      <w:sz w:val="20"/>
      <w:szCs w:val="20"/>
      <w:u w:val="none"/>
    </w:rPr>
  </w:style>
  <w:style w:type="character" w:customStyle="1" w:styleId="48">
    <w:name w:val="font51"/>
    <w:basedOn w:val="20"/>
    <w:qFormat/>
    <w:uiPriority w:val="0"/>
    <w:rPr>
      <w:rFonts w:hint="eastAsia" w:ascii="宋体" w:hAnsi="宋体" w:eastAsia="宋体" w:cs="宋体"/>
      <w:color w:val="000000"/>
      <w:sz w:val="20"/>
      <w:szCs w:val="20"/>
      <w:u w:val="none"/>
    </w:rPr>
  </w:style>
  <w:style w:type="paragraph" w:customStyle="1" w:styleId="49">
    <w:name w:val="TOC 标题2"/>
    <w:basedOn w:val="2"/>
    <w:next w:val="1"/>
    <w:semiHidden/>
    <w:unhideWhenUsed/>
    <w:qFormat/>
    <w:uiPriority w:val="39"/>
    <w:pPr>
      <w:widowControl/>
      <w:spacing w:before="480" w:after="0" w:line="276" w:lineRule="auto"/>
      <w:outlineLvl w:val="9"/>
    </w:pPr>
    <w:rPr>
      <w:rFonts w:asciiTheme="majorHAnsi" w:hAnsiTheme="majorHAnsi" w:eastAsiaTheme="majorEastAsia" w:cstheme="majorBidi"/>
      <w:b/>
      <w:color w:val="366091" w:themeColor="accent1" w:themeShade="BF"/>
      <w:kern w:val="0"/>
      <w:sz w:val="28"/>
      <w:szCs w:val="28"/>
    </w:rPr>
  </w:style>
  <w:style w:type="paragraph" w:customStyle="1" w:styleId="50">
    <w:name w:val="TOC 标题3"/>
    <w:basedOn w:val="2"/>
    <w:next w:val="1"/>
    <w:unhideWhenUsed/>
    <w:qFormat/>
    <w:uiPriority w:val="39"/>
    <w:pPr>
      <w:widowControl/>
      <w:spacing w:before="240" w:after="0" w:line="259" w:lineRule="auto"/>
      <w:outlineLvl w:val="9"/>
    </w:pPr>
    <w:rPr>
      <w:rFonts w:asciiTheme="majorHAnsi" w:hAnsiTheme="majorHAnsi" w:eastAsiaTheme="majorEastAsia" w:cstheme="majorBidi"/>
      <w:bCs w:val="0"/>
      <w:color w:val="366091" w:themeColor="accent1" w:themeShade="BF"/>
      <w:kern w:val="0"/>
      <w:sz w:val="32"/>
      <w:szCs w:val="32"/>
    </w:rPr>
  </w:style>
  <w:style w:type="character" w:customStyle="1" w:styleId="51">
    <w:name w:val="页眉 字符"/>
    <w:basedOn w:val="20"/>
    <w:link w:val="13"/>
    <w:autoRedefine/>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numbering" Target="numbering.xml"/><Relationship Id="rId21" Type="http://schemas.openxmlformats.org/officeDocument/2006/relationships/chart" Target="charts/chart3.xml"/><Relationship Id="rId20" Type="http://schemas.openxmlformats.org/officeDocument/2006/relationships/chart" Target="charts/chart2.xml"/><Relationship Id="rId2" Type="http://schemas.openxmlformats.org/officeDocument/2006/relationships/settings" Target="settings.xml"/><Relationship Id="rId19" Type="http://schemas.openxmlformats.org/officeDocument/2006/relationships/chart" Target="charts/chart1.xml"/><Relationship Id="rId18" Type="http://schemas.openxmlformats.org/officeDocument/2006/relationships/image" Target="media/image2.emf"/><Relationship Id="rId17" Type="http://schemas.openxmlformats.org/officeDocument/2006/relationships/oleObject" Target="embeddings/oleObject1.bin"/><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
        <c:rich>
          <a:bodyPr/>
          <a:lstStyle/>
          <a:p>
            <a:pPr>
              <a:defRPr/>
            </a:pPr>
          </a:p>
        </c:rich>
      </c:tx>
    </c:title>
    <c:autoTitleDeleted val="0"/>
    <c:plotArea>
      <c:layout/>
      <c:pieChart>
        <c:varyColors val="1"/>
        <c:ser>
          <c:idx val="0"/>
          <c:order val="0"/>
          <c:tx>
            <c:strRef>
              <c:f>Sheet1!$B$1</c:f>
              <c:strCache>
                <c:ptCount val="1"/>
                <c:pt idx="0">
                  <c:v/>
                </c:pt>
              </c:strCache>
            </c:strRef>
          </c:tx>
          <c:explosion val="0"/>
          <c:dPt>
            <c:idx val="0"/>
            <c:bubble3D val="0"/>
            <c:spPr>
              <a:solidFill>
                <a:schemeClr val="accent1">
                  <a:shade val="65000"/>
                </a:schemeClr>
              </a:solidFill>
              <a:ln>
                <a:solidFill>
                  <a:schemeClr val="bg1"/>
                </a:solidFill>
              </a:ln>
              <a:effectLst/>
            </c:spPr>
          </c:dPt>
          <c:dPt>
            <c:idx val="1"/>
            <c:bubble3D val="0"/>
            <c:spPr>
              <a:solidFill>
                <a:schemeClr val="accent2">
                  <a:shade val="65000"/>
                </a:schemeClr>
              </a:solidFill>
              <a:ln>
                <a:solidFill>
                  <a:schemeClr val="bg1"/>
                </a:solidFill>
              </a:ln>
              <a:effectLst/>
            </c:spPr>
          </c:dPt>
          <c:dPt>
            <c:idx val="2"/>
            <c:bubble3D val="0"/>
            <c:spPr>
              <a:solidFill>
                <a:schemeClr val="accent3">
                  <a:shade val="65000"/>
                </a:schemeClr>
              </a:solidFill>
              <a:ln>
                <a:solidFill>
                  <a:schemeClr val="bg1"/>
                </a:solidFill>
              </a:ln>
              <a:effectLst/>
            </c:spPr>
          </c:dPt>
          <c:dPt>
            <c:idx val="3"/>
            <c:bubble3D val="0"/>
            <c:spPr>
              <a:solidFill>
                <a:schemeClr val="accent4">
                  <a:shade val="65000"/>
                </a:schemeClr>
              </a:solidFill>
              <a:ln>
                <a:solidFill>
                  <a:schemeClr val="bg1"/>
                </a:solidFill>
              </a:ln>
              <a:effectLst/>
            </c:spPr>
          </c:dPt>
          <c:dPt>
            <c:idx val="4"/>
            <c:bubble3D val="0"/>
            <c:spPr>
              <a:solidFill>
                <a:schemeClr val="accent5">
                  <a:shade val="65000"/>
                </a:schemeClr>
              </a:solidFill>
              <a:ln>
                <a:solidFill>
                  <a:schemeClr val="bg1"/>
                </a:solidFill>
              </a:ln>
              <a:effectLst/>
            </c:spPr>
          </c:dPt>
          <c:dPt>
            <c:idx val="5"/>
            <c:bubble3D val="0"/>
            <c:spPr>
              <a:solidFill>
                <a:schemeClr val="accent6">
                  <a:shade val="65000"/>
                </a:schemeClr>
              </a:solidFill>
              <a:ln>
                <a:solidFill>
                  <a:schemeClr val="bg1"/>
                </a:solidFill>
              </a:ln>
              <a:effectLst/>
            </c:spPr>
          </c:dPt>
          <c:dPt>
            <c:idx val="6"/>
            <c:bubble3D val="0"/>
            <c:spPr>
              <a:solidFill>
                <a:schemeClr val="accent1"/>
              </a:solidFill>
              <a:ln>
                <a:solidFill>
                  <a:schemeClr val="bg1"/>
                </a:solidFill>
              </a:ln>
              <a:effectLst/>
            </c:spPr>
          </c:dPt>
          <c:dPt>
            <c:idx val="7"/>
            <c:bubble3D val="0"/>
            <c:spPr>
              <a:solidFill>
                <a:schemeClr val="accent2"/>
              </a:solidFill>
              <a:ln>
                <a:solidFill>
                  <a:schemeClr val="bg1"/>
                </a:solidFill>
              </a:ln>
              <a:effectLst/>
            </c:spPr>
          </c:dPt>
          <c:dPt>
            <c:idx val="8"/>
            <c:bubble3D val="0"/>
            <c:spPr>
              <a:solidFill>
                <a:schemeClr val="accent3"/>
              </a:solidFill>
              <a:ln>
                <a:solidFill>
                  <a:schemeClr val="bg1"/>
                </a:solidFill>
              </a:ln>
              <a:effectLst/>
            </c:spPr>
          </c:dPt>
          <c:dPt>
            <c:idx val="9"/>
            <c:bubble3D val="0"/>
            <c:spPr>
              <a:solidFill>
                <a:schemeClr val="accent4"/>
              </a:solidFill>
              <a:ln>
                <a:solidFill>
                  <a:schemeClr val="bg1"/>
                </a:solidFill>
              </a:ln>
              <a:effectLst/>
            </c:spPr>
          </c:dPt>
          <c:dPt>
            <c:idx val="10"/>
            <c:bubble3D val="0"/>
            <c:spPr>
              <a:solidFill>
                <a:schemeClr val="accent5"/>
              </a:solidFill>
              <a:ln>
                <a:solidFill>
                  <a:schemeClr val="bg1"/>
                </a:solidFill>
              </a:ln>
              <a:effectLst/>
            </c:spPr>
          </c:dPt>
          <c:dPt>
            <c:idx val="11"/>
            <c:bubble3D val="0"/>
            <c:spPr>
              <a:solidFill>
                <a:schemeClr val="accent6"/>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Sheet1!$A$2:$A$13</c:f>
              <c:strCache>
                <c:ptCount val="12"/>
                <c:pt idx="0">
                  <c:v>哲学</c:v>
                </c:pt>
                <c:pt idx="1">
                  <c:v>经济学</c:v>
                </c:pt>
                <c:pt idx="2">
                  <c:v>法学</c:v>
                </c:pt>
                <c:pt idx="3">
                  <c:v>教育学</c:v>
                </c:pt>
                <c:pt idx="4">
                  <c:v>文学</c:v>
                </c:pt>
                <c:pt idx="5">
                  <c:v>历史学</c:v>
                </c:pt>
                <c:pt idx="6">
                  <c:v>理学</c:v>
                </c:pt>
                <c:pt idx="7">
                  <c:v>工学</c:v>
                </c:pt>
                <c:pt idx="8">
                  <c:v>农学</c:v>
                </c:pt>
                <c:pt idx="9">
                  <c:v>医学</c:v>
                </c:pt>
                <c:pt idx="10">
                  <c:v>管理学</c:v>
                </c:pt>
                <c:pt idx="11">
                  <c:v>艺术学</c:v>
                </c:pt>
              </c:strCache>
            </c:strRef>
          </c:cat>
          <c:val>
            <c:numRef>
              <c:f>Sheet1!$B$2:$B$13</c:f>
              <c:numCache>
                <c:formatCode>General</c:formatCode>
                <c:ptCount val="12"/>
                <c:pt idx="0">
                  <c:v>0</c:v>
                </c:pt>
                <c:pt idx="1">
                  <c:v>2.53</c:v>
                </c:pt>
                <c:pt idx="2">
                  <c:v>6.33</c:v>
                </c:pt>
                <c:pt idx="3">
                  <c:v>8.86</c:v>
                </c:pt>
                <c:pt idx="4">
                  <c:v>8.86</c:v>
                </c:pt>
                <c:pt idx="5">
                  <c:v>1.27</c:v>
                </c:pt>
                <c:pt idx="6">
                  <c:v>22.78</c:v>
                </c:pt>
                <c:pt idx="7">
                  <c:v>15.19</c:v>
                </c:pt>
                <c:pt idx="8">
                  <c:v>0</c:v>
                </c:pt>
                <c:pt idx="9">
                  <c:v>5.06</c:v>
                </c:pt>
                <c:pt idx="10">
                  <c:v>13.92</c:v>
                </c:pt>
                <c:pt idx="11">
                  <c:v>16.46</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clustered"/>
        <c:varyColors val="0"/>
        <c:ser>
          <c:idx val="0"/>
          <c:order val="0"/>
          <c:tx>
            <c:strRef>
              <c:f>Sheet1!$B$1</c:f>
              <c:strCache>
                <c:ptCount val="1"/>
                <c:pt idx="0">
                  <c:v>22-23年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Sheet1!$A$2:$A$5</c:f>
              <c:strCache>
                <c:ptCount val="4"/>
                <c:pt idx="0">
                  <c:v>博士</c:v>
                </c:pt>
                <c:pt idx="1">
                  <c:v>硕士</c:v>
                </c:pt>
                <c:pt idx="2">
                  <c:v>学士</c:v>
                </c:pt>
                <c:pt idx="3">
                  <c:v>无学位</c:v>
                </c:pt>
              </c:strCache>
            </c:strRef>
          </c:cat>
          <c:val>
            <c:numRef>
              <c:f>Sheet1!$B$2:$B$5</c:f>
              <c:numCache>
                <c:formatCode>General</c:formatCode>
                <c:ptCount val="4"/>
                <c:pt idx="0">
                  <c:v>78.01</c:v>
                </c:pt>
                <c:pt idx="1">
                  <c:v>18.13</c:v>
                </c:pt>
                <c:pt idx="2">
                  <c:v>3.63</c:v>
                </c:pt>
                <c:pt idx="3">
                  <c:v>0.23</c:v>
                </c:pt>
              </c:numCache>
            </c:numRef>
          </c:val>
        </c:ser>
        <c:ser>
          <c:idx val="1"/>
          <c:order val="1"/>
          <c:tx>
            <c:strRef>
              <c:f>Sheet1!$C$1</c:f>
              <c:strCache>
                <c:ptCount val="1"/>
                <c:pt idx="0">
                  <c:v>21-22年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Sheet1!$A$2:$A$5</c:f>
              <c:strCache>
                <c:ptCount val="4"/>
                <c:pt idx="0">
                  <c:v>博士</c:v>
                </c:pt>
                <c:pt idx="1">
                  <c:v>硕士</c:v>
                </c:pt>
                <c:pt idx="2">
                  <c:v>学士</c:v>
                </c:pt>
                <c:pt idx="3">
                  <c:v>无学位</c:v>
                </c:pt>
              </c:strCache>
            </c:strRef>
          </c:cat>
          <c:val>
            <c:numRef>
              <c:f>Sheet1!$C$2:$C$5</c:f>
              <c:numCache>
                <c:formatCode>General</c:formatCode>
                <c:ptCount val="4"/>
                <c:pt idx="0">
                  <c:v>75.47</c:v>
                </c:pt>
                <c:pt idx="1">
                  <c:v>20.11</c:v>
                </c:pt>
                <c:pt idx="2">
                  <c:v>4.11</c:v>
                </c:pt>
                <c:pt idx="3">
                  <c:v>0.31</c:v>
                </c:pt>
              </c:numCache>
            </c:numRef>
          </c:val>
        </c:ser>
        <c:dLbls>
          <c:showLegendKey val="0"/>
          <c:showVal val="1"/>
          <c:showCatName val="0"/>
          <c:showSerName val="0"/>
          <c:showPercent val="0"/>
          <c:showBubbleSize val="0"/>
        </c:dLbls>
        <c:gapWidth val="219"/>
        <c:overlap val="-27"/>
        <c:axId val="80361038"/>
        <c:axId val="147093178"/>
      </c:barChart>
      <c:catAx>
        <c:axId val="80361038"/>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47093178"/>
        <c:crosses val="autoZero"/>
        <c:auto val="1"/>
        <c:lblAlgn val="ctr"/>
        <c:lblOffset val="100"/>
        <c:noMultiLvlLbl val="0"/>
      </c:catAx>
      <c:valAx>
        <c:axId val="14709317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0361038"/>
        <c:crosses val="autoZero"/>
        <c:crossBetween val="between"/>
      </c:valAx>
      <c:spPr>
        <a:noFill/>
        <a:ln>
          <a:noFill/>
        </a:ln>
        <a:effectLst/>
      </c:spPr>
    </c:plotArea>
    <c:legend>
      <c:legendPos val="b"/>
      <c:layout>
        <c:manualLayout>
          <c:xMode val="edge"/>
          <c:yMode val="edge"/>
          <c:x val="0.257125"/>
          <c:y val="0.924166666666667"/>
          <c:w val="0.44625"/>
          <c:h val="0.0558333333333333"/>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bar"/>
        <c:grouping val="clustered"/>
        <c:varyColors val="0"/>
        <c:ser>
          <c:idx val="0"/>
          <c:order val="0"/>
          <c:tx>
            <c:strRef>
              <c:f>Sheet1!$B$1</c:f>
              <c:strCache>
                <c:ptCount val="1"/>
                <c:pt idx="0">
                  <c:v>2022年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Sheet1!$A$2:$A$4</c:f>
              <c:strCache>
                <c:ptCount val="3"/>
                <c:pt idx="0">
                  <c:v>生均实习经费(元)</c:v>
                </c:pt>
                <c:pt idx="1">
                  <c:v>生均实验经费(元)</c:v>
                </c:pt>
                <c:pt idx="2">
                  <c:v>生均教学日常运行支出(元)</c:v>
                </c:pt>
              </c:strCache>
            </c:strRef>
          </c:cat>
          <c:val>
            <c:numRef>
              <c:f>Sheet1!$B$2:$B$4</c:f>
              <c:numCache>
                <c:formatCode>General</c:formatCode>
                <c:ptCount val="3"/>
                <c:pt idx="0">
                  <c:v>489.58</c:v>
                </c:pt>
                <c:pt idx="1">
                  <c:v>530.64</c:v>
                </c:pt>
                <c:pt idx="2">
                  <c:v>2627.46</c:v>
                </c:pt>
              </c:numCache>
            </c:numRef>
          </c:val>
        </c:ser>
        <c:ser>
          <c:idx val="1"/>
          <c:order val="1"/>
          <c:tx>
            <c:strRef>
              <c:f>Sheet1!$C$1</c:f>
              <c:strCache>
                <c:ptCount val="1"/>
                <c:pt idx="0">
                  <c:v>2021年</c:v>
                </c:pt>
              </c:strCache>
            </c:strRef>
          </c:tx>
          <c:spPr>
            <a:solidFill>
              <a:schemeClr val="accent2"/>
            </a:solidFill>
            <a:ln>
              <a:noFill/>
            </a:ln>
            <a:effectLst/>
          </c:spPr>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prstDash val="solid"/>
                      <a:round/>
                    </a:ln>
                    <a:effectLst/>
                  </c:spPr>
                </c15:leaderLines>
              </c:ext>
            </c:extLst>
          </c:dLbls>
          <c:cat>
            <c:strRef>
              <c:f>Sheet1!$A$2:$A$4</c:f>
              <c:strCache>
                <c:ptCount val="3"/>
                <c:pt idx="0">
                  <c:v>生均实习经费(元)</c:v>
                </c:pt>
                <c:pt idx="1">
                  <c:v>生均实验经费(元)</c:v>
                </c:pt>
                <c:pt idx="2">
                  <c:v>生均教学日常运行支出(元)</c:v>
                </c:pt>
              </c:strCache>
            </c:strRef>
          </c:cat>
          <c:val>
            <c:numRef>
              <c:f>Sheet1!$C$2:$C$4</c:f>
              <c:numCache>
                <c:formatCode>General</c:formatCode>
                <c:ptCount val="3"/>
                <c:pt idx="0">
                  <c:v>440.2</c:v>
                </c:pt>
                <c:pt idx="1">
                  <c:v>434.47</c:v>
                </c:pt>
                <c:pt idx="2">
                  <c:v>2121.39</c:v>
                </c:pt>
              </c:numCache>
            </c:numRef>
          </c:val>
        </c:ser>
        <c:dLbls>
          <c:showLegendKey val="0"/>
          <c:showVal val="1"/>
          <c:showCatName val="0"/>
          <c:showSerName val="0"/>
          <c:showPercent val="0"/>
          <c:showBubbleSize val="0"/>
        </c:dLbls>
        <c:gapWidth val="219"/>
        <c:overlap val="0"/>
        <c:axId val="856098174"/>
        <c:axId val="288899599"/>
      </c:barChart>
      <c:catAx>
        <c:axId val="856098174"/>
        <c:scaling>
          <c:orientation val="minMax"/>
        </c:scaling>
        <c:delete val="0"/>
        <c:axPos val="l"/>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8899599"/>
        <c:crosses val="autoZero"/>
        <c:auto val="1"/>
        <c:lblAlgn val="ctr"/>
        <c:lblOffset val="100"/>
        <c:noMultiLvlLbl val="0"/>
      </c:catAx>
      <c:valAx>
        <c:axId val="288899599"/>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56098174"/>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554CBBA9-A57D-42CB-BB11-986BD0EAA22D}">
  <ds:schemaRefs/>
</ds:datastoreItem>
</file>

<file path=docProps/app.xml><?xml version="1.0" encoding="utf-8"?>
<Properties xmlns="http://schemas.openxmlformats.org/officeDocument/2006/extended-properties" xmlns:vt="http://schemas.openxmlformats.org/officeDocument/2006/docPropsVTypes">
  <Company>微软中国</Company>
  <Pages>1</Pages>
  <Words>6217</Words>
  <Characters>35443</Characters>
  <Lines>295</Lines>
  <Paragraphs>83</Paragraphs>
  <TotalTime>2</TotalTime>
  <ScaleCrop>false</ScaleCrop>
  <LinksUpToDate>false</LinksUpToDate>
  <CharactersWithSpaces>41577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2020-12-18T15:41:00Z</dcterms:created>
  <dc:creator>User</dc:creator>
  <cp:lastModifiedBy>早晨</cp:lastModifiedBy>
  <cp:lastPrinted>2022-12-01T10:32:00Z</cp:lastPrinted>
  <dcterms:modified xsi:type="dcterms:W3CDTF">2024-01-11T01:32:35Z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B0DCFA5E39D34C2AAE5B39E6725453D4</vt:lpwstr>
  </property>
</Properties>
</file>