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052" w:firstLineChars="244"/>
        <w:rPr>
          <w:rFonts w:hint="eastAsia" w:ascii="华文行楷" w:hAnsi="新宋体" w:eastAsia="华文行楷"/>
          <w:b/>
          <w:color w:val="000000"/>
          <w:sz w:val="84"/>
          <w:szCs w:val="84"/>
        </w:rPr>
      </w:pPr>
    </w:p>
    <w:p>
      <w:pPr>
        <w:jc w:val="center"/>
        <w:rPr>
          <w:rFonts w:ascii="华文行楷" w:hAnsi="新宋体" w:eastAsia="华文行楷"/>
          <w:b/>
          <w:color w:val="FF0000"/>
          <w:sz w:val="84"/>
          <w:szCs w:val="84"/>
        </w:rPr>
      </w:pPr>
      <w:r>
        <w:rPr>
          <w:rFonts w:hint="eastAsia" w:ascii="华文行楷" w:hAnsi="新宋体" w:eastAsia="华文行楷"/>
          <w:b/>
          <w:color w:val="FF0000"/>
          <w:sz w:val="84"/>
          <w:szCs w:val="84"/>
        </w:rPr>
        <w:t>督 导 简 讯</w:t>
      </w:r>
    </w:p>
    <w:p>
      <w:pPr>
        <w:spacing w:before="312" w:beforeLines="100" w:after="312" w:afterLines="100"/>
        <w:jc w:val="center"/>
        <w:rPr>
          <w:rFonts w:ascii="仿宋_GB2312" w:eastAsia="仿宋_GB2312"/>
          <w:b/>
          <w:color w:val="000000"/>
          <w:sz w:val="32"/>
        </w:rPr>
      </w:pPr>
      <w:r>
        <w:rPr>
          <w:rFonts w:hint="eastAsia" w:ascii="仿宋_GB2312" w:eastAsia="仿宋_GB2312"/>
          <w:b/>
          <w:color w:val="000000"/>
          <w:sz w:val="32"/>
        </w:rPr>
        <w:t>2020年第</w:t>
      </w:r>
      <w:r>
        <w:rPr>
          <w:rFonts w:hint="eastAsia" w:ascii="仿宋_GB2312" w:eastAsia="仿宋_GB2312"/>
          <w:b/>
          <w:color w:val="000000"/>
          <w:sz w:val="32"/>
          <w:lang w:val="en-US" w:eastAsia="zh-CN"/>
        </w:rPr>
        <w:t>3</w:t>
      </w:r>
      <w:r>
        <w:rPr>
          <w:rFonts w:hint="eastAsia" w:ascii="仿宋_GB2312" w:eastAsia="仿宋_GB2312"/>
          <w:b/>
          <w:color w:val="000000"/>
          <w:sz w:val="32"/>
        </w:rPr>
        <w:t>期 总第9</w:t>
      </w:r>
      <w:r>
        <w:rPr>
          <w:rFonts w:hint="eastAsia" w:ascii="仿宋_GB2312" w:eastAsia="仿宋_GB2312"/>
          <w:b/>
          <w:color w:val="000000"/>
          <w:sz w:val="32"/>
          <w:lang w:val="en-US" w:eastAsia="zh-CN"/>
        </w:rPr>
        <w:t>2</w:t>
      </w:r>
      <w:bookmarkStart w:id="0" w:name="_GoBack"/>
      <w:bookmarkEnd w:id="0"/>
      <w:r>
        <w:rPr>
          <w:rFonts w:hint="eastAsia" w:ascii="仿宋_GB2312" w:eastAsia="仿宋_GB2312"/>
          <w:b/>
          <w:color w:val="000000"/>
          <w:sz w:val="32"/>
        </w:rPr>
        <w:t>期（网络版）</w:t>
      </w:r>
    </w:p>
    <w:p>
      <w:pPr>
        <w:tabs>
          <w:tab w:val="left" w:pos="2880"/>
        </w:tabs>
        <w:ind w:right="187"/>
        <w:rPr>
          <w:rFonts w:eastAsia="仿宋_GB2312"/>
          <w:b/>
          <w:color w:val="000000"/>
          <w:sz w:val="32"/>
          <w:szCs w:val="32"/>
        </w:rPr>
      </w:pPr>
      <w:r>
        <w:rPr>
          <w:rFonts w:hint="eastAsia" w:eastAsia="仿宋_GB2312"/>
          <w:b/>
          <w:color w:val="FF0000"/>
          <w:sz w:val="30"/>
          <w:szCs w:val="30"/>
          <w:u w:val="thick"/>
        </w:rPr>
        <w:t xml:space="preserve">  教学督导委员会办公室编制</w:t>
      </w:r>
      <w:r>
        <w:rPr>
          <w:rFonts w:eastAsia="仿宋_GB2312"/>
          <w:b/>
          <w:color w:val="FF0000"/>
          <w:sz w:val="30"/>
          <w:szCs w:val="30"/>
          <w:u w:val="thick"/>
        </w:rPr>
        <w:t xml:space="preserve">   </w:t>
      </w:r>
      <w:r>
        <w:rPr>
          <w:rFonts w:eastAsia="仿宋_GB2312"/>
          <w:b/>
          <w:color w:val="000000"/>
          <w:sz w:val="30"/>
          <w:szCs w:val="30"/>
          <w:u w:val="thick"/>
        </w:rPr>
        <w:t xml:space="preserve">    </w:t>
      </w:r>
      <w:r>
        <w:rPr>
          <w:rFonts w:hint="eastAsia" w:eastAsia="仿宋_GB2312"/>
          <w:b/>
          <w:color w:val="000000"/>
          <w:sz w:val="30"/>
          <w:szCs w:val="30"/>
          <w:u w:val="thick"/>
        </w:rPr>
        <w:t xml:space="preserve">  2020年</w:t>
      </w:r>
      <w:r>
        <w:rPr>
          <w:rFonts w:hint="eastAsia" w:eastAsia="仿宋_GB2312"/>
          <w:b/>
          <w:color w:val="000000"/>
          <w:sz w:val="30"/>
          <w:szCs w:val="30"/>
          <w:u w:val="thick"/>
          <w:lang w:val="en-US" w:eastAsia="zh-CN"/>
        </w:rPr>
        <w:t>12</w:t>
      </w:r>
      <w:r>
        <w:rPr>
          <w:rFonts w:hint="eastAsia" w:eastAsia="仿宋_GB2312"/>
          <w:b/>
          <w:color w:val="000000"/>
          <w:sz w:val="30"/>
          <w:szCs w:val="30"/>
          <w:u w:val="thick"/>
        </w:rPr>
        <w:t>月</w:t>
      </w:r>
      <w:r>
        <w:rPr>
          <w:rFonts w:hint="eastAsia" w:eastAsia="仿宋_GB2312"/>
          <w:b/>
          <w:color w:val="000000"/>
          <w:sz w:val="30"/>
          <w:szCs w:val="30"/>
          <w:u w:val="thick"/>
          <w:lang w:val="en-US" w:eastAsia="zh-CN"/>
        </w:rPr>
        <w:t>10</w:t>
      </w:r>
      <w:r>
        <w:rPr>
          <w:rFonts w:hint="eastAsia" w:eastAsia="仿宋_GB2312"/>
          <w:b/>
          <w:color w:val="000000"/>
          <w:sz w:val="30"/>
          <w:szCs w:val="30"/>
          <w:u w:val="thick"/>
        </w:rPr>
        <w:t xml:space="preserve">日       </w:t>
      </w:r>
    </w:p>
    <w:p>
      <w:pPr>
        <w:tabs>
          <w:tab w:val="left" w:pos="2880"/>
        </w:tabs>
        <w:ind w:right="187" w:firstLine="3349" w:firstLineChars="695"/>
        <w:rPr>
          <w:rFonts w:eastAsia="仿宋_GB2312"/>
          <w:b/>
          <w:color w:val="000000"/>
          <w:sz w:val="48"/>
          <w:szCs w:val="48"/>
        </w:rPr>
      </w:pPr>
    </w:p>
    <w:p>
      <w:pPr>
        <w:tabs>
          <w:tab w:val="left" w:pos="2880"/>
        </w:tabs>
        <w:ind w:right="187" w:firstLine="3393" w:firstLineChars="650"/>
        <w:rPr>
          <w:rFonts w:ascii="楷体_GB2312" w:eastAsia="楷体_GB2312"/>
          <w:b/>
          <w:color w:val="000000"/>
          <w:sz w:val="52"/>
          <w:szCs w:val="52"/>
        </w:rPr>
      </w:pPr>
    </w:p>
    <w:p>
      <w:pPr>
        <w:tabs>
          <w:tab w:val="left" w:pos="2880"/>
        </w:tabs>
        <w:ind w:right="187" w:firstLine="3393" w:firstLineChars="650"/>
        <w:rPr>
          <w:rFonts w:eastAsia="仿宋_GB2312"/>
          <w:b/>
          <w:color w:val="FF0000"/>
          <w:sz w:val="30"/>
          <w:szCs w:val="30"/>
          <w:u w:val="thick"/>
        </w:rPr>
      </w:pPr>
      <w:r>
        <w:rPr>
          <w:rFonts w:hint="eastAsia" w:ascii="楷体_GB2312" w:eastAsia="楷体_GB2312"/>
          <w:b/>
          <w:color w:val="000000"/>
          <w:sz w:val="52"/>
          <w:szCs w:val="52"/>
        </w:rPr>
        <w:t>目  录</w:t>
      </w:r>
    </w:p>
    <w:p>
      <w:pPr>
        <w:spacing w:line="440" w:lineRule="exact"/>
        <w:jc w:val="center"/>
        <w:rPr>
          <w:rFonts w:ascii="仿宋_GB2312" w:eastAsia="仿宋_GB2312"/>
          <w:color w:val="000000"/>
          <w:sz w:val="24"/>
          <w:szCs w:val="21"/>
        </w:rPr>
      </w:pPr>
    </w:p>
    <w:p>
      <w:pPr>
        <w:spacing w:before="156" w:beforeLines="50" w:after="156" w:afterLines="50" w:line="800" w:lineRule="exact"/>
        <w:rPr>
          <w:rFonts w:ascii="楷体_GB2312" w:hAnsi="楷体_GB2312" w:eastAsia="楷体_GB2312"/>
          <w:b/>
          <w:spacing w:val="-8"/>
          <w:sz w:val="30"/>
          <w:szCs w:val="30"/>
        </w:rPr>
      </w:pPr>
    </w:p>
    <w:p>
      <w:pPr>
        <w:spacing w:before="156" w:beforeLines="50" w:after="156" w:afterLines="50" w:line="500" w:lineRule="exact"/>
        <w:ind w:left="1996" w:hanging="1996" w:hangingChars="700"/>
        <w:jc w:val="left"/>
        <w:rPr>
          <w:rFonts w:ascii="宋体" w:hAnsi="宋体"/>
          <w:b/>
          <w:color w:val="000000"/>
          <w:sz w:val="32"/>
          <w:szCs w:val="32"/>
        </w:rPr>
      </w:pPr>
      <w:r>
        <w:rPr>
          <w:rFonts w:hint="eastAsia" w:ascii="楷体_GB2312" w:hAnsi="楷体_GB2312" w:eastAsia="楷体_GB2312"/>
          <w:b/>
          <w:spacing w:val="-8"/>
          <w:sz w:val="30"/>
          <w:szCs w:val="30"/>
        </w:rPr>
        <w:t xml:space="preserve">          ☆  </w:t>
      </w:r>
      <w:r>
        <w:rPr>
          <w:rFonts w:hint="eastAsia" w:ascii="楷体_GB2312" w:hAnsi="宋体" w:eastAsia="楷体_GB2312"/>
          <w:b/>
          <w:sz w:val="32"/>
          <w:szCs w:val="32"/>
        </w:rPr>
        <w:t>校</w:t>
      </w:r>
      <w:r>
        <w:rPr>
          <w:rFonts w:hint="eastAsia" w:ascii="楷体_GB2312" w:hAnsi="楷体_GB2312" w:eastAsia="楷体_GB2312" w:cs="楷体_GB2312"/>
          <w:b/>
          <w:bCs/>
          <w:spacing w:val="-8"/>
          <w:sz w:val="32"/>
          <w:szCs w:val="32"/>
        </w:rPr>
        <w:t>教学督导委员会2019-2020学年第一学期期末试卷抽查情况通报</w:t>
      </w:r>
    </w:p>
    <w:p>
      <w:pPr>
        <w:spacing w:line="600" w:lineRule="exact"/>
        <w:ind w:firstLine="1285" w:firstLineChars="400"/>
        <w:rPr>
          <w:rFonts w:ascii="楷体_GB2312" w:hAnsi="宋体" w:eastAsia="楷体_GB2312"/>
          <w:b/>
          <w:sz w:val="32"/>
          <w:szCs w:val="32"/>
        </w:rPr>
      </w:pPr>
    </w:p>
    <w:p>
      <w:pPr>
        <w:adjustRightInd w:val="0"/>
        <w:snapToGrid w:val="0"/>
        <w:spacing w:before="156" w:beforeLines="50" w:after="156" w:afterLines="50" w:line="500" w:lineRule="exact"/>
        <w:ind w:left="1996" w:hanging="1996" w:hangingChars="700"/>
        <w:jc w:val="left"/>
        <w:rPr>
          <w:rFonts w:ascii="楷体_GB2312" w:hAnsi="宋体" w:eastAsia="楷体_GB2312"/>
          <w:b/>
          <w:sz w:val="32"/>
          <w:szCs w:val="32"/>
        </w:rPr>
      </w:pPr>
      <w:r>
        <w:rPr>
          <w:rFonts w:hint="eastAsia" w:ascii="楷体_GB2312" w:hAnsi="楷体_GB2312" w:eastAsia="楷体_GB2312"/>
          <w:b/>
          <w:spacing w:val="-8"/>
          <w:sz w:val="30"/>
          <w:szCs w:val="30"/>
        </w:rPr>
        <w:t xml:space="preserve">          ☆  </w:t>
      </w:r>
      <w:r>
        <w:rPr>
          <w:rFonts w:hint="eastAsia" w:ascii="楷体_GB2312" w:hAnsi="宋体" w:eastAsia="楷体_GB2312"/>
          <w:b/>
          <w:sz w:val="32"/>
          <w:szCs w:val="32"/>
        </w:rPr>
        <w:t>校教学督导委员会2019-2020学年第</w:t>
      </w:r>
      <w:r>
        <w:rPr>
          <w:rFonts w:hint="eastAsia" w:ascii="楷体_GB2312" w:hAnsi="宋体" w:eastAsia="楷体_GB2312"/>
          <w:b/>
          <w:sz w:val="32"/>
          <w:szCs w:val="32"/>
          <w:lang w:eastAsia="zh-CN"/>
        </w:rPr>
        <w:t>二</w:t>
      </w:r>
      <w:r>
        <w:rPr>
          <w:rFonts w:hint="eastAsia" w:ascii="楷体_GB2312" w:hAnsi="宋体" w:eastAsia="楷体_GB2312"/>
          <w:b/>
          <w:sz w:val="32"/>
          <w:szCs w:val="32"/>
        </w:rPr>
        <w:t>学期听课情况通报</w:t>
      </w:r>
    </w:p>
    <w:p>
      <w:pPr>
        <w:adjustRightInd w:val="0"/>
        <w:snapToGrid w:val="0"/>
        <w:spacing w:before="156" w:beforeLines="50" w:after="156" w:afterLines="50" w:line="450" w:lineRule="exact"/>
        <w:ind w:firstLine="1266" w:firstLineChars="394"/>
        <w:rPr>
          <w:rFonts w:ascii="楷体_GB2312" w:hAnsi="宋体" w:eastAsia="楷体_GB2312"/>
          <w:b/>
          <w:sz w:val="32"/>
          <w:szCs w:val="32"/>
        </w:rPr>
      </w:pPr>
    </w:p>
    <w:p>
      <w:pPr>
        <w:spacing w:line="600" w:lineRule="exact"/>
        <w:ind w:firstLine="1141" w:firstLineChars="400"/>
        <w:rPr>
          <w:rFonts w:ascii="楷体_GB2312" w:hAnsi="楷体_GB2312" w:eastAsia="楷体_GB2312"/>
          <w:b/>
          <w:spacing w:val="-8"/>
          <w:sz w:val="30"/>
          <w:szCs w:val="30"/>
        </w:rPr>
      </w:pPr>
    </w:p>
    <w:p>
      <w:pP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br w:type="page"/>
      </w:r>
    </w:p>
    <w:p>
      <w:pPr>
        <w:adjustRightInd w:val="0"/>
        <w:snapToGrid w:val="0"/>
        <w:spacing w:before="156" w:beforeLines="50" w:after="156" w:afterLines="50" w:line="45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湖州师范学院教学督导委员会2019-2020学年</w:t>
      </w:r>
    </w:p>
    <w:p>
      <w:pPr>
        <w:adjustRightInd w:val="0"/>
        <w:snapToGrid w:val="0"/>
        <w:spacing w:before="156" w:beforeLines="50" w:after="156" w:afterLines="50" w:line="450" w:lineRule="exact"/>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第</w:t>
      </w:r>
      <w:r>
        <w:rPr>
          <w:rFonts w:hint="eastAsia" w:ascii="方正小标宋简体" w:hAnsi="方正小标宋简体" w:eastAsia="方正小标宋简体" w:cs="方正小标宋简体"/>
          <w:bCs/>
          <w:sz w:val="36"/>
          <w:szCs w:val="36"/>
          <w:lang w:eastAsia="zh-CN"/>
        </w:rPr>
        <w:t>二</w:t>
      </w:r>
      <w:r>
        <w:rPr>
          <w:rFonts w:hint="eastAsia" w:ascii="方正小标宋简体" w:hAnsi="方正小标宋简体" w:eastAsia="方正小标宋简体" w:cs="方正小标宋简体"/>
          <w:bCs/>
          <w:sz w:val="36"/>
          <w:szCs w:val="36"/>
        </w:rPr>
        <w:t>学期期末试卷抽查情况通报</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学校教学督导委员会于2020年9月21日至10月23日，对13个二级学院和求真学院2019-2020学年第二学期的96本（含16本考查课试卷）期末考试卷进行抽查。原则是根据各学院考试课程门数，按一定比例从各学院随机抽3-9本试卷。按《湖州师范学院教学督导试卷抽查评估标准》进行了质量检查，检查内容包括命题质量、阅卷规范、试卷材料归档和平时成绩（作业等）四大方面。现将本次抽查结果通报如下:</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黑体" w:hAnsi="黑体" w:eastAsia="黑体" w:cs="黑体"/>
          <w:b/>
          <w:color w:val="000000" w:themeColor="text1"/>
          <w:kern w:val="0"/>
          <w:sz w:val="28"/>
          <w:szCs w:val="28"/>
        </w:rPr>
      </w:pPr>
      <w:r>
        <w:rPr>
          <w:rFonts w:hint="eastAsia" w:ascii="黑体" w:hAnsi="黑体" w:eastAsia="黑体" w:cs="黑体"/>
          <w:b/>
          <w:color w:val="000000" w:themeColor="text1"/>
          <w:kern w:val="0"/>
          <w:sz w:val="28"/>
          <w:szCs w:val="28"/>
        </w:rPr>
        <w:t>一、总体情况</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从本次抽查96本课程试卷的得分情况(见表1)看,评阅成绩在90分以上有25本，占26.04%。比上次试卷抽查高出4.53%；80-89分有60本，占62.5%；优秀良好率为88.54%，比上学期84,95%高3.95%，70-79分有10本，占10.42%；60-69分1本，占1.04%；无59分以下评阅成绩。表明我校的考务工作质量在进一步提高。</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总体看，大部分考试课程的考题内容符合课程教学大纲要求和课程考核特点,符合测试学生基础知识、基本理论和基本技能的要求；主观题与客观题比例合理（（见表2）），主观题占50-79%以上有55门课程，占总数的68.75%，在学校规定范围之内；试题适量、难易适中，多数课程考试成绩分布基本合理（见表3、表4）,班级平均成绩65-79之间有49门，占61.25;不及格率在0-29之间有56门，占70%，有34本试卷成绩程正态分布；参考答案全面正确，采分点清晰，评分标准详细具体；多数教师阅卷规范，扣分依据充分，批改标准统一，合分正确、登分规范；试卷排版格式统一，符合学校要求；有命题计划和试卷分析，多数课程的试卷分析详实，能根据存在问题，有针对性地提出改进措施；试卷相关资料齐全，内容填写正确，排序合理，装订整齐规范。</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在检查的16门考查课中，有9门课程能按学校要求完成出题、考试、阅卷和材料归档。材料齐全，试题量适中，难易适度，答案详细，采分点明确，批阅规范，成绩分布基本合理。</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color w:val="000000" w:themeColor="text1"/>
          <w:kern w:val="0"/>
          <w:sz w:val="28"/>
          <w:szCs w:val="28"/>
        </w:rPr>
        <w:t>课程作业适量，批改认真。多数课程能根据课程进度需要，选留一定量的作业，及时认真批改。批阅作业时有成绩</w:t>
      </w:r>
      <w:r>
        <w:rPr>
          <w:rFonts w:hint="eastAsia" w:ascii="仿宋_GB2312" w:hAnsi="仿宋_GB2312" w:eastAsia="仿宋_GB2312" w:cs="仿宋_GB2312"/>
          <w:b/>
          <w:color w:val="000000" w:themeColor="text1"/>
          <w:kern w:val="0"/>
          <w:sz w:val="28"/>
          <w:szCs w:val="28"/>
        </w:rPr>
        <w:t>、</w:t>
      </w:r>
      <w:r>
        <w:rPr>
          <w:rFonts w:hint="eastAsia" w:ascii="仿宋_GB2312" w:hAnsi="仿宋_GB2312" w:eastAsia="仿宋_GB2312" w:cs="仿宋_GB2312"/>
          <w:color w:val="000000" w:themeColor="text1"/>
          <w:kern w:val="0"/>
          <w:sz w:val="28"/>
          <w:szCs w:val="28"/>
        </w:rPr>
        <w:t>时间</w:t>
      </w:r>
      <w:r>
        <w:rPr>
          <w:rFonts w:hint="eastAsia" w:ascii="仿宋_GB2312" w:hAnsi="仿宋_GB2312" w:eastAsia="仿宋_GB2312" w:cs="仿宋_GB2312"/>
          <w:b/>
          <w:color w:val="000000" w:themeColor="text1"/>
          <w:kern w:val="0"/>
          <w:sz w:val="28"/>
          <w:szCs w:val="28"/>
        </w:rPr>
        <w:t>、</w:t>
      </w:r>
      <w:r>
        <w:rPr>
          <w:rFonts w:hint="eastAsia" w:ascii="仿宋_GB2312" w:hAnsi="仿宋_GB2312" w:eastAsia="仿宋_GB2312" w:cs="仿宋_GB2312"/>
          <w:color w:val="000000" w:themeColor="text1"/>
          <w:kern w:val="0"/>
          <w:sz w:val="28"/>
          <w:szCs w:val="28"/>
        </w:rPr>
        <w:t>评语和对错误处进行修改。平时成绩考核全面。</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color w:val="000000" w:themeColor="text1"/>
          <w:kern w:val="0"/>
          <w:sz w:val="28"/>
          <w:szCs w:val="28"/>
          <w:lang w:eastAsia="zh-CN"/>
        </w:rPr>
      </w:pPr>
      <w:r>
        <w:rPr>
          <w:rFonts w:hint="eastAsia" w:ascii="黑体" w:hAnsi="黑体" w:eastAsia="黑体" w:cs="黑体"/>
          <w:b/>
          <w:bCs/>
          <w:color w:val="000000" w:themeColor="text1"/>
          <w:kern w:val="0"/>
          <w:sz w:val="28"/>
          <w:szCs w:val="28"/>
        </w:rPr>
        <w:t>表1 2019-2020学年第2学期的试卷抽查成绩区段分布及平均成绩表</w:t>
      </w:r>
    </w:p>
    <w:tbl>
      <w:tblPr>
        <w:tblStyle w:val="6"/>
        <w:tblW w:w="8325" w:type="dxa"/>
        <w:tblInd w:w="346"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32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85" w:hRule="atLeast"/>
        </w:trPr>
        <w:tc>
          <w:tcPr>
            <w:tcW w:w="8325" w:type="dxa"/>
            <w:noWrap/>
            <w:vAlign w:val="center"/>
          </w:tcPr>
          <w:tbl>
            <w:tblPr>
              <w:tblStyle w:val="6"/>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2222"/>
              <w:gridCol w:w="1012"/>
              <w:gridCol w:w="818"/>
              <w:gridCol w:w="855"/>
              <w:gridCol w:w="810"/>
              <w:gridCol w:w="725"/>
              <w:gridCol w:w="80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42" w:type="dxa"/>
                  <w:vMerge w:val="restart"/>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排序</w:t>
                  </w:r>
                </w:p>
              </w:tc>
              <w:tc>
                <w:tcPr>
                  <w:tcW w:w="2222" w:type="dxa"/>
                  <w:vMerge w:val="restart"/>
                  <w:noWrap/>
                  <w:vAlign w:val="center"/>
                </w:tcPr>
                <w:p>
                  <w:pPr>
                    <w:keepNext w:val="0"/>
                    <w:keepLines w:val="0"/>
                    <w:pageBreakBefore w:val="0"/>
                    <w:widowControl/>
                    <w:kinsoku/>
                    <w:wordWrap/>
                    <w:overflowPunct/>
                    <w:topLinePunct w:val="0"/>
                    <w:autoSpaceDE/>
                    <w:autoSpaceDN/>
                    <w:bidi w:val="0"/>
                    <w:spacing w:line="500" w:lineRule="exact"/>
                    <w:ind w:left="-199" w:leftChars="-95" w:firstLine="0" w:firstLineChars="0"/>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学院</w:t>
                  </w:r>
                </w:p>
              </w:tc>
              <w:tc>
                <w:tcPr>
                  <w:tcW w:w="1012" w:type="dxa"/>
                  <w:vMerge w:val="restart"/>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平均成绩</w:t>
                  </w:r>
                </w:p>
              </w:tc>
              <w:tc>
                <w:tcPr>
                  <w:tcW w:w="4016" w:type="dxa"/>
                  <w:gridSpan w:val="5"/>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成绩区段分布</w:t>
                  </w:r>
                </w:p>
              </w:tc>
              <w:tc>
                <w:tcPr>
                  <w:tcW w:w="732" w:type="dxa"/>
                  <w:vMerge w:val="restart"/>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b/>
                      <w:bCs/>
                      <w:color w:val="000000" w:themeColor="text1"/>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2" w:type="dxa"/>
                  <w:vMerge w:val="continue"/>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p>
              </w:tc>
              <w:tc>
                <w:tcPr>
                  <w:tcW w:w="2222" w:type="dxa"/>
                  <w:vMerge w:val="continue"/>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p>
              </w:tc>
              <w:tc>
                <w:tcPr>
                  <w:tcW w:w="1012" w:type="dxa"/>
                  <w:vMerge w:val="continue"/>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90-100</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80-89</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70-79</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60-69</w:t>
                  </w: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50-59</w:t>
                  </w:r>
                </w:p>
              </w:tc>
              <w:tc>
                <w:tcPr>
                  <w:tcW w:w="732" w:type="dxa"/>
                  <w:vMerge w:val="continue"/>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工学院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90.14</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求真学院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88.44</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外国语学院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88.38</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5</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理学院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87.63</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5</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生命科学院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87.00</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教师教育学院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86.75</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信息工程学院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86.43</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马克思主义学院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86.38</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5</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9</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医学院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86.13</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10</w:t>
                  </w:r>
                </w:p>
              </w:tc>
              <w:tc>
                <w:tcPr>
                  <w:tcW w:w="2222"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社会发展与管理学院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85.43</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4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11</w:t>
                  </w:r>
                </w:p>
              </w:tc>
              <w:tc>
                <w:tcPr>
                  <w:tcW w:w="222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文学院</w:t>
                  </w:r>
                </w:p>
              </w:tc>
              <w:tc>
                <w:tcPr>
                  <w:tcW w:w="101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84.88</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64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12</w:t>
                  </w:r>
                </w:p>
              </w:tc>
              <w:tc>
                <w:tcPr>
                  <w:tcW w:w="222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体育学院</w:t>
                  </w:r>
                </w:p>
              </w:tc>
              <w:tc>
                <w:tcPr>
                  <w:tcW w:w="1012" w:type="dxa"/>
                  <w:noWrap/>
                  <w:vAlign w:val="center"/>
                </w:tcPr>
                <w:p>
                  <w:pPr>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84.33</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4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13</w:t>
                  </w:r>
                </w:p>
              </w:tc>
              <w:tc>
                <w:tcPr>
                  <w:tcW w:w="222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商学院</w:t>
                  </w:r>
                </w:p>
              </w:tc>
              <w:tc>
                <w:tcPr>
                  <w:tcW w:w="101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83.86</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5</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4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14</w:t>
                  </w:r>
                </w:p>
              </w:tc>
              <w:tc>
                <w:tcPr>
                  <w:tcW w:w="222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艺术学院</w:t>
                  </w:r>
                </w:p>
              </w:tc>
              <w:tc>
                <w:tcPr>
                  <w:tcW w:w="101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71</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4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222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合计</w:t>
                  </w:r>
                </w:p>
              </w:tc>
              <w:tc>
                <w:tcPr>
                  <w:tcW w:w="101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25</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60</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10</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4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222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平均</w:t>
                  </w:r>
                </w:p>
              </w:tc>
              <w:tc>
                <w:tcPr>
                  <w:tcW w:w="101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86.15</w:t>
                  </w: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4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222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w:t>
                  </w:r>
                </w:p>
              </w:tc>
              <w:tc>
                <w:tcPr>
                  <w:tcW w:w="101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81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26.04</w:t>
                  </w:r>
                </w:p>
              </w:tc>
              <w:tc>
                <w:tcPr>
                  <w:tcW w:w="85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62.5</w:t>
                  </w:r>
                </w:p>
              </w:tc>
              <w:tc>
                <w:tcPr>
                  <w:tcW w:w="810"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10.42</w:t>
                  </w:r>
                </w:p>
              </w:tc>
              <w:tc>
                <w:tcPr>
                  <w:tcW w:w="725"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1.04</w:t>
                  </w:r>
                </w:p>
              </w:tc>
              <w:tc>
                <w:tcPr>
                  <w:tcW w:w="808"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c>
                <w:tcPr>
                  <w:tcW w:w="732" w:type="dxa"/>
                  <w:noWrap/>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p>
              </w:tc>
            </w:tr>
          </w:tbl>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p>
        </w:tc>
      </w:tr>
    </w:tbl>
    <w:tbl>
      <w:tblPr>
        <w:tblStyle w:val="6"/>
        <w:tblpPr w:leftFromText="180" w:rightFromText="180" w:vertAnchor="text" w:horzAnchor="page" w:tblpX="1843" w:tblpY="500"/>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837"/>
        <w:gridCol w:w="787"/>
        <w:gridCol w:w="888"/>
        <w:gridCol w:w="858"/>
        <w:gridCol w:w="855"/>
        <w:gridCol w:w="851"/>
        <w:gridCol w:w="850"/>
        <w:gridCol w:w="709"/>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成绩区段</w:t>
            </w:r>
          </w:p>
        </w:tc>
        <w:tc>
          <w:tcPr>
            <w:tcW w:w="837"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90-99</w:t>
            </w:r>
          </w:p>
        </w:tc>
        <w:tc>
          <w:tcPr>
            <w:tcW w:w="787"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80-89</w:t>
            </w:r>
          </w:p>
        </w:tc>
        <w:tc>
          <w:tcPr>
            <w:tcW w:w="888"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70-79</w:t>
            </w:r>
          </w:p>
        </w:tc>
        <w:tc>
          <w:tcPr>
            <w:tcW w:w="858"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60-69</w:t>
            </w:r>
          </w:p>
        </w:tc>
        <w:tc>
          <w:tcPr>
            <w:tcW w:w="855"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50-59</w:t>
            </w:r>
          </w:p>
        </w:tc>
        <w:tc>
          <w:tcPr>
            <w:tcW w:w="851"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40-49</w:t>
            </w:r>
          </w:p>
        </w:tc>
        <w:tc>
          <w:tcPr>
            <w:tcW w:w="850"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30-39</w:t>
            </w:r>
          </w:p>
        </w:tc>
        <w:tc>
          <w:tcPr>
            <w:tcW w:w="709"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＜29</w:t>
            </w:r>
          </w:p>
        </w:tc>
        <w:tc>
          <w:tcPr>
            <w:tcW w:w="903"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门数</w:t>
            </w:r>
          </w:p>
        </w:tc>
        <w:tc>
          <w:tcPr>
            <w:tcW w:w="837"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w:t>
            </w:r>
          </w:p>
        </w:tc>
        <w:tc>
          <w:tcPr>
            <w:tcW w:w="787"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13</w:t>
            </w:r>
          </w:p>
        </w:tc>
        <w:tc>
          <w:tcPr>
            <w:tcW w:w="888"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w:t>
            </w:r>
          </w:p>
        </w:tc>
        <w:tc>
          <w:tcPr>
            <w:tcW w:w="858"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20</w:t>
            </w:r>
          </w:p>
        </w:tc>
        <w:tc>
          <w:tcPr>
            <w:tcW w:w="855"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w:t>
            </w:r>
          </w:p>
        </w:tc>
        <w:tc>
          <w:tcPr>
            <w:tcW w:w="851"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850"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w:t>
            </w:r>
          </w:p>
        </w:tc>
        <w:tc>
          <w:tcPr>
            <w:tcW w:w="709"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903"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w:t>
            </w:r>
          </w:p>
        </w:tc>
        <w:tc>
          <w:tcPr>
            <w:tcW w:w="837"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6．25</w:t>
            </w:r>
          </w:p>
        </w:tc>
        <w:tc>
          <w:tcPr>
            <w:tcW w:w="787"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16．25</w:t>
            </w:r>
          </w:p>
        </w:tc>
        <w:tc>
          <w:tcPr>
            <w:tcW w:w="888"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31．25</w:t>
            </w:r>
          </w:p>
        </w:tc>
        <w:tc>
          <w:tcPr>
            <w:tcW w:w="858"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w:t>
            </w:r>
          </w:p>
        </w:tc>
        <w:tc>
          <w:tcPr>
            <w:tcW w:w="855"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12．5</w:t>
            </w:r>
          </w:p>
        </w:tc>
        <w:tc>
          <w:tcPr>
            <w:tcW w:w="851"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w:t>
            </w:r>
          </w:p>
        </w:tc>
        <w:tc>
          <w:tcPr>
            <w:tcW w:w="850"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3．75</w:t>
            </w:r>
          </w:p>
        </w:tc>
        <w:tc>
          <w:tcPr>
            <w:tcW w:w="709"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w:t>
            </w:r>
          </w:p>
        </w:tc>
        <w:tc>
          <w:tcPr>
            <w:tcW w:w="903"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门数</w:t>
            </w:r>
          </w:p>
        </w:tc>
        <w:tc>
          <w:tcPr>
            <w:tcW w:w="1624" w:type="dxa"/>
            <w:gridSpan w:val="2"/>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18</w:t>
            </w:r>
          </w:p>
        </w:tc>
        <w:tc>
          <w:tcPr>
            <w:tcW w:w="2601" w:type="dxa"/>
            <w:gridSpan w:val="3"/>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55</w:t>
            </w:r>
          </w:p>
        </w:tc>
        <w:tc>
          <w:tcPr>
            <w:tcW w:w="2410" w:type="dxa"/>
            <w:gridSpan w:val="3"/>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w:t>
            </w:r>
          </w:p>
        </w:tc>
        <w:tc>
          <w:tcPr>
            <w:tcW w:w="903"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i/>
                <w:color w:val="000000" w:themeColor="text1"/>
                <w:sz w:val="28"/>
                <w:szCs w:val="28"/>
              </w:rPr>
            </w:pPr>
            <w:r>
              <w:rPr>
                <w:rFonts w:hint="eastAsia" w:ascii="仿宋_GB2312" w:hAnsi="仿宋_GB2312" w:eastAsia="仿宋_GB2312" w:cs="仿宋_GB2312"/>
                <w:iCs/>
                <w:color w:val="000000" w:themeColor="text1"/>
                <w:sz w:val="28"/>
                <w:szCs w:val="2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w:t>
            </w:r>
          </w:p>
        </w:tc>
        <w:tc>
          <w:tcPr>
            <w:tcW w:w="1624" w:type="dxa"/>
            <w:gridSpan w:val="2"/>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22．5</w:t>
            </w:r>
          </w:p>
        </w:tc>
        <w:tc>
          <w:tcPr>
            <w:tcW w:w="2601" w:type="dxa"/>
            <w:gridSpan w:val="3"/>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68．75</w:t>
            </w:r>
          </w:p>
        </w:tc>
        <w:tc>
          <w:tcPr>
            <w:tcW w:w="2410" w:type="dxa"/>
            <w:gridSpan w:val="3"/>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8．75</w:t>
            </w:r>
          </w:p>
        </w:tc>
        <w:tc>
          <w:tcPr>
            <w:tcW w:w="903" w:type="dxa"/>
            <w:noWrap w:val="0"/>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100</w:t>
            </w:r>
          </w:p>
        </w:tc>
      </w:tr>
    </w:tbl>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color w:val="000000" w:themeColor="text1"/>
          <w:kern w:val="0"/>
          <w:sz w:val="28"/>
          <w:szCs w:val="28"/>
        </w:rPr>
      </w:pPr>
      <w:r>
        <w:rPr>
          <w:rFonts w:hint="eastAsia" w:ascii="黑体" w:hAnsi="黑体" w:eastAsia="黑体" w:cs="黑体"/>
          <w:b/>
          <w:bCs/>
          <w:color w:val="000000" w:themeColor="text1"/>
          <w:kern w:val="0"/>
          <w:sz w:val="28"/>
          <w:szCs w:val="28"/>
        </w:rPr>
        <w:t>表2  2019-2020抽查考试课试题主观题比例各区段分布一览表</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color w:val="000000" w:themeColor="text1"/>
          <w:spacing w:val="-6"/>
          <w:kern w:val="0"/>
          <w:sz w:val="28"/>
          <w:szCs w:val="28"/>
        </w:rPr>
      </w:pPr>
      <w:r>
        <w:rPr>
          <w:rFonts w:hint="eastAsia" w:ascii="黑体" w:hAnsi="黑体" w:eastAsia="黑体" w:cs="黑体"/>
          <w:b/>
          <w:bCs/>
          <w:color w:val="000000" w:themeColor="text1"/>
          <w:spacing w:val="-6"/>
          <w:kern w:val="0"/>
          <w:sz w:val="28"/>
          <w:szCs w:val="28"/>
        </w:rPr>
        <w:t>表3 2019-2020（2）抽查考试课试卷班级平均成绩各区段分布一览表</w:t>
      </w:r>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056"/>
        <w:gridCol w:w="930"/>
        <w:gridCol w:w="916"/>
        <w:gridCol w:w="954"/>
        <w:gridCol w:w="965"/>
        <w:gridCol w:w="917"/>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成绩区段</w:t>
            </w:r>
          </w:p>
        </w:tc>
        <w:tc>
          <w:tcPr>
            <w:tcW w:w="1056"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90-100</w:t>
            </w:r>
          </w:p>
        </w:tc>
        <w:tc>
          <w:tcPr>
            <w:tcW w:w="930"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80-89</w:t>
            </w:r>
          </w:p>
        </w:tc>
        <w:tc>
          <w:tcPr>
            <w:tcW w:w="916"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70-79</w:t>
            </w:r>
          </w:p>
        </w:tc>
        <w:tc>
          <w:tcPr>
            <w:tcW w:w="954"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60-69</w:t>
            </w:r>
          </w:p>
        </w:tc>
        <w:tc>
          <w:tcPr>
            <w:tcW w:w="965"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50-59</w:t>
            </w:r>
          </w:p>
        </w:tc>
        <w:tc>
          <w:tcPr>
            <w:tcW w:w="91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40-49</w:t>
            </w:r>
          </w:p>
        </w:tc>
        <w:tc>
          <w:tcPr>
            <w:tcW w:w="116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门数数</w:t>
            </w:r>
          </w:p>
        </w:tc>
        <w:tc>
          <w:tcPr>
            <w:tcW w:w="1056"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930" w:type="dxa"/>
            <w:noWrap w:val="0"/>
            <w:vAlign w:val="top"/>
          </w:tcPr>
          <w:p>
            <w:pPr>
              <w:keepNext w:val="0"/>
              <w:keepLines w:val="0"/>
              <w:pageBreakBefore w:val="0"/>
              <w:widowControl/>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19</w:t>
            </w:r>
          </w:p>
        </w:tc>
        <w:tc>
          <w:tcPr>
            <w:tcW w:w="916"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35</w:t>
            </w:r>
          </w:p>
        </w:tc>
        <w:tc>
          <w:tcPr>
            <w:tcW w:w="954"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24</w:t>
            </w:r>
          </w:p>
        </w:tc>
        <w:tc>
          <w:tcPr>
            <w:tcW w:w="965"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91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116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w:t>
            </w:r>
          </w:p>
        </w:tc>
        <w:tc>
          <w:tcPr>
            <w:tcW w:w="1056"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930"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23．75</w:t>
            </w:r>
          </w:p>
        </w:tc>
        <w:tc>
          <w:tcPr>
            <w:tcW w:w="916"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43．75</w:t>
            </w:r>
          </w:p>
        </w:tc>
        <w:tc>
          <w:tcPr>
            <w:tcW w:w="954"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30</w:t>
            </w:r>
          </w:p>
        </w:tc>
        <w:tc>
          <w:tcPr>
            <w:tcW w:w="965"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w:t>
            </w:r>
          </w:p>
        </w:tc>
        <w:tc>
          <w:tcPr>
            <w:tcW w:w="91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0</w:t>
            </w:r>
          </w:p>
        </w:tc>
        <w:tc>
          <w:tcPr>
            <w:tcW w:w="116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门数数</w:t>
            </w:r>
          </w:p>
        </w:tc>
        <w:tc>
          <w:tcPr>
            <w:tcW w:w="1986" w:type="dxa"/>
            <w:gridSpan w:val="2"/>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19</w:t>
            </w:r>
          </w:p>
        </w:tc>
        <w:tc>
          <w:tcPr>
            <w:tcW w:w="1870" w:type="dxa"/>
            <w:gridSpan w:val="2"/>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59</w:t>
            </w:r>
          </w:p>
        </w:tc>
        <w:tc>
          <w:tcPr>
            <w:tcW w:w="1882" w:type="dxa"/>
            <w:gridSpan w:val="2"/>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w:t>
            </w:r>
          </w:p>
        </w:tc>
        <w:tc>
          <w:tcPr>
            <w:tcW w:w="116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1"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sz w:val="28"/>
                <w:szCs w:val="28"/>
              </w:rPr>
            </w:pPr>
            <w:r>
              <w:rPr>
                <w:rFonts w:hint="eastAsia" w:ascii="仿宋_GB2312" w:hAnsi="仿宋_GB2312" w:eastAsia="仿宋_GB2312" w:cs="仿宋_GB2312"/>
                <w:b/>
                <w:bCs/>
                <w:color w:val="000000" w:themeColor="text1"/>
                <w:sz w:val="28"/>
                <w:szCs w:val="28"/>
              </w:rPr>
              <w:t>%</w:t>
            </w:r>
          </w:p>
        </w:tc>
        <w:tc>
          <w:tcPr>
            <w:tcW w:w="1986" w:type="dxa"/>
            <w:gridSpan w:val="2"/>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23．75</w:t>
            </w:r>
          </w:p>
        </w:tc>
        <w:tc>
          <w:tcPr>
            <w:tcW w:w="1870" w:type="dxa"/>
            <w:gridSpan w:val="2"/>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73．75</w:t>
            </w:r>
          </w:p>
        </w:tc>
        <w:tc>
          <w:tcPr>
            <w:tcW w:w="1882" w:type="dxa"/>
            <w:gridSpan w:val="2"/>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2．5</w:t>
            </w:r>
          </w:p>
        </w:tc>
        <w:tc>
          <w:tcPr>
            <w:tcW w:w="1167" w:type="dxa"/>
            <w:noWrap w:val="0"/>
            <w:vAlign w:val="top"/>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100</w:t>
            </w:r>
          </w:p>
        </w:tc>
      </w:tr>
    </w:tbl>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b/>
          <w:bCs/>
          <w:color w:val="000000" w:themeColor="text1"/>
          <w:kern w:val="0"/>
          <w:sz w:val="28"/>
          <w:szCs w:val="28"/>
        </w:rPr>
      </w:pPr>
      <w:r>
        <w:rPr>
          <w:rFonts w:hint="eastAsia" w:ascii="黑体" w:hAnsi="黑体" w:eastAsia="黑体" w:cs="黑体"/>
          <w:b/>
          <w:bCs/>
          <w:color w:val="000000" w:themeColor="text1"/>
          <w:kern w:val="0"/>
          <w:sz w:val="28"/>
          <w:szCs w:val="28"/>
        </w:rPr>
        <w:t>表4  2019-2020（2）抽查考试课试卷班级不及格率统计一览表（修改后）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27"/>
        <w:gridCol w:w="988"/>
        <w:gridCol w:w="900"/>
        <w:gridCol w:w="1000"/>
        <w:gridCol w:w="775"/>
        <w:gridCol w:w="787"/>
        <w:gridCol w:w="778"/>
        <w:gridCol w:w="916"/>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区段</w:t>
            </w:r>
          </w:p>
        </w:tc>
        <w:tc>
          <w:tcPr>
            <w:tcW w:w="92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0</w:t>
            </w:r>
          </w:p>
        </w:tc>
        <w:tc>
          <w:tcPr>
            <w:tcW w:w="988"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1-9</w:t>
            </w:r>
          </w:p>
        </w:tc>
        <w:tc>
          <w:tcPr>
            <w:tcW w:w="90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10-19</w:t>
            </w:r>
          </w:p>
        </w:tc>
        <w:tc>
          <w:tcPr>
            <w:tcW w:w="100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20-29</w:t>
            </w:r>
          </w:p>
        </w:tc>
        <w:tc>
          <w:tcPr>
            <w:tcW w:w="77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30-39</w:t>
            </w:r>
          </w:p>
        </w:tc>
        <w:tc>
          <w:tcPr>
            <w:tcW w:w="78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40-49</w:t>
            </w:r>
          </w:p>
        </w:tc>
        <w:tc>
          <w:tcPr>
            <w:tcW w:w="778"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50-59</w:t>
            </w:r>
          </w:p>
        </w:tc>
        <w:tc>
          <w:tcPr>
            <w:tcW w:w="91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60-69</w:t>
            </w:r>
          </w:p>
        </w:tc>
        <w:tc>
          <w:tcPr>
            <w:tcW w:w="63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门数</w:t>
            </w:r>
          </w:p>
        </w:tc>
        <w:tc>
          <w:tcPr>
            <w:tcW w:w="92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15</w:t>
            </w:r>
          </w:p>
        </w:tc>
        <w:tc>
          <w:tcPr>
            <w:tcW w:w="988"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25</w:t>
            </w:r>
          </w:p>
        </w:tc>
        <w:tc>
          <w:tcPr>
            <w:tcW w:w="90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16</w:t>
            </w:r>
          </w:p>
        </w:tc>
        <w:tc>
          <w:tcPr>
            <w:tcW w:w="100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15</w:t>
            </w:r>
          </w:p>
        </w:tc>
        <w:tc>
          <w:tcPr>
            <w:tcW w:w="77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6</w:t>
            </w:r>
          </w:p>
        </w:tc>
        <w:tc>
          <w:tcPr>
            <w:tcW w:w="78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0</w:t>
            </w:r>
          </w:p>
        </w:tc>
        <w:tc>
          <w:tcPr>
            <w:tcW w:w="778"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w:t>
            </w:r>
          </w:p>
        </w:tc>
        <w:tc>
          <w:tcPr>
            <w:tcW w:w="91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w:t>
            </w:r>
          </w:p>
        </w:tc>
        <w:tc>
          <w:tcPr>
            <w:tcW w:w="63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w:t>
            </w:r>
          </w:p>
        </w:tc>
        <w:tc>
          <w:tcPr>
            <w:tcW w:w="92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18．75</w:t>
            </w:r>
          </w:p>
        </w:tc>
        <w:tc>
          <w:tcPr>
            <w:tcW w:w="988"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31．25</w:t>
            </w:r>
          </w:p>
        </w:tc>
        <w:tc>
          <w:tcPr>
            <w:tcW w:w="90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20</w:t>
            </w:r>
          </w:p>
        </w:tc>
        <w:tc>
          <w:tcPr>
            <w:tcW w:w="1000"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18．75</w:t>
            </w:r>
          </w:p>
        </w:tc>
        <w:tc>
          <w:tcPr>
            <w:tcW w:w="77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7．5</w:t>
            </w:r>
          </w:p>
        </w:tc>
        <w:tc>
          <w:tcPr>
            <w:tcW w:w="78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0</w:t>
            </w:r>
          </w:p>
        </w:tc>
        <w:tc>
          <w:tcPr>
            <w:tcW w:w="778"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2．5</w:t>
            </w:r>
          </w:p>
        </w:tc>
        <w:tc>
          <w:tcPr>
            <w:tcW w:w="91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1．25</w:t>
            </w:r>
          </w:p>
        </w:tc>
        <w:tc>
          <w:tcPr>
            <w:tcW w:w="63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门数</w:t>
            </w:r>
          </w:p>
        </w:tc>
        <w:tc>
          <w:tcPr>
            <w:tcW w:w="92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15</w:t>
            </w:r>
          </w:p>
        </w:tc>
        <w:tc>
          <w:tcPr>
            <w:tcW w:w="2888" w:type="dxa"/>
            <w:gridSpan w:val="3"/>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56</w:t>
            </w:r>
          </w:p>
        </w:tc>
        <w:tc>
          <w:tcPr>
            <w:tcW w:w="3256" w:type="dxa"/>
            <w:gridSpan w:val="4"/>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9</w:t>
            </w:r>
          </w:p>
        </w:tc>
        <w:tc>
          <w:tcPr>
            <w:tcW w:w="63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b/>
                <w:bCs/>
                <w:color w:val="000000" w:themeColor="text1"/>
                <w:kern w:val="0"/>
                <w:sz w:val="28"/>
                <w:szCs w:val="28"/>
              </w:rPr>
            </w:pPr>
            <w:r>
              <w:rPr>
                <w:rFonts w:hint="eastAsia" w:ascii="仿宋_GB2312" w:hAnsi="仿宋_GB2312" w:eastAsia="仿宋_GB2312" w:cs="仿宋_GB2312"/>
                <w:b/>
                <w:bCs/>
                <w:color w:val="000000" w:themeColor="text1"/>
                <w:kern w:val="0"/>
                <w:sz w:val="28"/>
                <w:szCs w:val="28"/>
              </w:rPr>
              <w:t>%</w:t>
            </w:r>
          </w:p>
        </w:tc>
        <w:tc>
          <w:tcPr>
            <w:tcW w:w="927"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18．75</w:t>
            </w:r>
          </w:p>
        </w:tc>
        <w:tc>
          <w:tcPr>
            <w:tcW w:w="2888" w:type="dxa"/>
            <w:gridSpan w:val="3"/>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70</w:t>
            </w:r>
          </w:p>
        </w:tc>
        <w:tc>
          <w:tcPr>
            <w:tcW w:w="3256" w:type="dxa"/>
            <w:gridSpan w:val="4"/>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11．25</w:t>
            </w:r>
          </w:p>
        </w:tc>
        <w:tc>
          <w:tcPr>
            <w:tcW w:w="636" w:type="dxa"/>
            <w:noWrap w:val="0"/>
            <w:vAlign w:val="center"/>
          </w:tcPr>
          <w:p>
            <w:pPr>
              <w:keepNext w:val="0"/>
              <w:keepLines w:val="0"/>
              <w:pageBreakBefore w:val="0"/>
              <w:kinsoku/>
              <w:wordWrap/>
              <w:overflowPunct/>
              <w:topLinePunct w:val="0"/>
              <w:autoSpaceDE/>
              <w:autoSpaceDN/>
              <w:bidi w:val="0"/>
              <w:spacing w:line="500" w:lineRule="exact"/>
              <w:jc w:val="center"/>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100</w:t>
            </w:r>
          </w:p>
        </w:tc>
      </w:tr>
    </w:tbl>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黑体" w:hAnsi="黑体" w:eastAsia="黑体" w:cs="黑体"/>
          <w:b/>
          <w:color w:val="000000" w:themeColor="text1"/>
          <w:kern w:val="0"/>
          <w:sz w:val="28"/>
          <w:szCs w:val="28"/>
        </w:rPr>
      </w:pPr>
      <w:r>
        <w:rPr>
          <w:rFonts w:hint="eastAsia" w:ascii="黑体" w:hAnsi="黑体" w:eastAsia="黑体" w:cs="黑体"/>
          <w:b/>
          <w:color w:val="000000" w:themeColor="text1"/>
          <w:kern w:val="0"/>
          <w:sz w:val="28"/>
          <w:szCs w:val="28"/>
        </w:rPr>
        <w:t>二、存在问题</w:t>
      </w:r>
    </w:p>
    <w:p>
      <w:pPr>
        <w:keepNext w:val="0"/>
        <w:keepLines w:val="0"/>
        <w:pageBreakBefore w:val="0"/>
        <w:kinsoku/>
        <w:wordWrap/>
        <w:overflowPunct/>
        <w:topLinePunct w:val="0"/>
        <w:autoSpaceDE/>
        <w:autoSpaceDN/>
        <w:bidi w:val="0"/>
        <w:spacing w:line="500" w:lineRule="exact"/>
        <w:ind w:firstLine="561" w:firstLineChars="200"/>
        <w:textAlignment w:val="auto"/>
        <w:rPr>
          <w:rFonts w:hint="eastAsia" w:ascii="华文楷体" w:hAnsi="华文楷体" w:eastAsia="华文楷体" w:cs="华文楷体"/>
          <w:b/>
          <w:color w:val="000000" w:themeColor="text1"/>
          <w:kern w:val="0"/>
          <w:sz w:val="28"/>
          <w:szCs w:val="28"/>
        </w:rPr>
      </w:pPr>
      <w:r>
        <w:rPr>
          <w:rFonts w:hint="eastAsia" w:ascii="华文楷体" w:hAnsi="华文楷体" w:eastAsia="华文楷体" w:cs="华文楷体"/>
          <w:b/>
          <w:color w:val="000000" w:themeColor="text1"/>
          <w:kern w:val="0"/>
          <w:sz w:val="28"/>
          <w:szCs w:val="28"/>
        </w:rPr>
        <w:t>（一）考试课</w:t>
      </w:r>
    </w:p>
    <w:p>
      <w:pPr>
        <w:keepNext w:val="0"/>
        <w:keepLines w:val="0"/>
        <w:pageBreakBefore w:val="0"/>
        <w:kinsoku/>
        <w:wordWrap/>
        <w:overflowPunct/>
        <w:topLinePunct w:val="0"/>
        <w:autoSpaceDE/>
        <w:autoSpaceDN/>
        <w:bidi w:val="0"/>
        <w:spacing w:line="500" w:lineRule="exact"/>
        <w:ind w:firstLine="638" w:firstLineChars="228"/>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根据对80本考试课试卷抽查中存在的问题汇总、统计和分析，本次试卷抽查主要存在以下七方面问题。</w:t>
      </w:r>
    </w:p>
    <w:p>
      <w:pPr>
        <w:keepNext w:val="0"/>
        <w:keepLines w:val="0"/>
        <w:pageBreakBefore w:val="0"/>
        <w:kinsoku/>
        <w:wordWrap/>
        <w:overflowPunct/>
        <w:topLinePunct w:val="0"/>
        <w:autoSpaceDE/>
        <w:autoSpaceDN/>
        <w:bidi w:val="0"/>
        <w:spacing w:line="500" w:lineRule="exact"/>
        <w:ind w:firstLine="638" w:firstLineChars="228"/>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试题难度把握不准，成绩分布不合理。4本试卷既无优秀成绩也无不及格成绩；1本试卷无70分成绩区段，6本试卷无60分成绩区段；4本试卷优秀率高达40%以上；15本试卷无不及格成绩；3本试卷不及格率高达50%以上；2）试卷批阅不规范，有的试卷无批阅标记，直接写出得分，缺少给分或扣分依据；批阅标准不统一，给分标准不一致；3）8本试卷10位学生成绩合分出现误差，范围1-9分，多为1-2分；4）标准答案中采分点不详细，过于笼统，只有各小题应给的总分数，各采分点没有具体的分值分配；5）材料信息填写不全。考试时间和考试形式等内容为空白；6）题型单一。有的课程考题只有2种题型，过于单一，不符合全面考察学生综合能力要求；7）批改试卷不认真。个别试卷的选择题或填空题学生答案是错的，教师批为对，没扣分，批改与标准答案明显不一致，显得教师阅卷不够认真。</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以下为各学院存在的问题。</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1.商学院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lang w:bidi="ar"/>
        </w:rPr>
      </w:pPr>
      <w:r>
        <w:rPr>
          <w:rFonts w:hint="eastAsia" w:ascii="仿宋_GB2312" w:hAnsi="仿宋_GB2312" w:eastAsia="仿宋_GB2312" w:cs="仿宋_GB2312"/>
          <w:color w:val="000000" w:themeColor="text1"/>
          <w:kern w:val="0"/>
          <w:sz w:val="28"/>
          <w:szCs w:val="28"/>
        </w:rPr>
        <w:t>1）合分错误。20170122班管理信息系统，20170122班电子商务系统设计与实践和20180126金融计量学三门课合计有6处，最大误差少记9分。2）排版不规范。20170124班运筹学，第一大题单项选择题10个小题，第二大道判断题10个小题，两种不同题型的题不能按1-20来排序；试卷的标识部分，与学校教务处所提供的模版不一致。</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color w:val="000000" w:themeColor="text1"/>
          <w:kern w:val="0"/>
          <w:sz w:val="28"/>
          <w:szCs w:val="28"/>
        </w:rPr>
        <w:t>2</w:t>
      </w:r>
      <w:r>
        <w:rPr>
          <w:rFonts w:hint="eastAsia" w:ascii="仿宋_GB2312" w:hAnsi="仿宋_GB2312" w:eastAsia="仿宋_GB2312" w:cs="仿宋_GB2312"/>
          <w:b/>
          <w:color w:val="000000" w:themeColor="text1"/>
          <w:kern w:val="0"/>
          <w:sz w:val="28"/>
          <w:szCs w:val="28"/>
        </w:rPr>
        <w:t>.社会发展与管理学院</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20181122班旅行社经营管理，材料信息填写不全；学生答题空间不足；参考答案中没有标出评分标准；20171111班中国历史地理，阅卷不够认真，批阅符号不全，使用批阅符号不一致；20181111班世界近代史，论述题没有任何标记，只有分数；20191124班刑法，合分出现2分误差。</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3.马克思主义学院</w:t>
      </w: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    20191411班中国通史，成绩分布不合理，班级平均分87.45，优秀率42.11%；试卷装订不规范，有许多小分及答题内容看不见。                                 20181411班伦理学，改动处无教师签名，成绩分布不合理，优秀率高达53.48%，无不及格成绩。</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 </w:t>
      </w:r>
      <w:r>
        <w:rPr>
          <w:rFonts w:hint="eastAsia" w:ascii="仿宋_GB2312" w:hAnsi="仿宋_GB2312" w:eastAsia="仿宋_GB2312" w:cs="仿宋_GB2312"/>
          <w:b/>
          <w:color w:val="000000" w:themeColor="text1"/>
          <w:kern w:val="0"/>
          <w:sz w:val="28"/>
          <w:szCs w:val="28"/>
        </w:rPr>
        <w:t>4.教师教育学院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 20190212班，汉语通论（1），材料信息填写不全，如试卷分析表的考试形式和考试日期为空白，教研室主任没有签字；20190253班学前心理学，试卷分析未填写考试形式和日期；20190252班幼儿园课程，答案采分点不明确，如分析题和论述题没有具体采分点，签名不全，试卷改动处</w:t>
      </w:r>
      <w:r>
        <w:rPr>
          <w:rFonts w:hint="eastAsia" w:ascii="仿宋_GB2312" w:hAnsi="仿宋_GB2312" w:eastAsia="仿宋_GB2312" w:cs="仿宋_GB2312"/>
          <w:b/>
          <w:color w:val="000000" w:themeColor="text1"/>
          <w:kern w:val="0"/>
          <w:sz w:val="28"/>
          <w:szCs w:val="28"/>
        </w:rPr>
        <w:t>、</w:t>
      </w:r>
      <w:r>
        <w:rPr>
          <w:rFonts w:hint="eastAsia" w:ascii="仿宋_GB2312" w:hAnsi="仿宋_GB2312" w:eastAsia="仿宋_GB2312" w:cs="仿宋_GB2312"/>
          <w:color w:val="000000" w:themeColor="text1"/>
          <w:kern w:val="0"/>
          <w:sz w:val="28"/>
          <w:szCs w:val="28"/>
        </w:rPr>
        <w:t>试卷分析和命题计划无签名。</w:t>
      </w:r>
      <w:r>
        <w:rPr>
          <w:rFonts w:hint="eastAsia" w:ascii="仿宋_GB2312" w:hAnsi="仿宋_GB2312" w:eastAsia="仿宋_GB2312" w:cs="仿宋_GB2312"/>
          <w:color w:val="000000" w:themeColor="text1"/>
          <w:kern w:val="0"/>
          <w:sz w:val="28"/>
          <w:szCs w:val="28"/>
        </w:rPr>
        <w:br w:type="textWrapping"/>
      </w:r>
      <w:r>
        <w:rPr>
          <w:rFonts w:hint="eastAsia" w:ascii="仿宋_GB2312" w:hAnsi="仿宋_GB2312" w:eastAsia="仿宋_GB2312" w:cs="仿宋_GB2312"/>
          <w:color w:val="000000" w:themeColor="text1"/>
          <w:kern w:val="0"/>
          <w:sz w:val="28"/>
          <w:szCs w:val="28"/>
        </w:rPr>
        <w:t xml:space="preserve"> </w:t>
      </w:r>
      <w:r>
        <w:rPr>
          <w:rFonts w:hint="eastAsia" w:ascii="仿宋_GB2312" w:hAnsi="仿宋_GB2312" w:eastAsia="仿宋_GB2312" w:cs="仿宋_GB2312"/>
          <w:b/>
          <w:color w:val="000000" w:themeColor="text1"/>
          <w:kern w:val="0"/>
          <w:sz w:val="28"/>
          <w:szCs w:val="28"/>
        </w:rPr>
        <w:t xml:space="preserve">  5.体育学院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20170311班体育统计学，试卷改动多达25处，签名不全；20180312体育心理学，选择题有2处批改错误和1处合分错误。</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6.文学院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20180413班文学概论（2)，阅卷不规范，论述题没有任何批阅标记，只有分数；20170411班语文教学法，试卷分析报告中信息填写不够完整；20180421班传播学，201841134何丽华的试卷第三大题总分与小分改动后不一致，笔误5分，且同一试卷的第四大题总分改动无签名。</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 xml:space="preserve"> 7.外国语学院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color w:val="000000" w:themeColor="text1"/>
          <w:kern w:val="0"/>
          <w:sz w:val="28"/>
          <w:szCs w:val="28"/>
          <w:lang w:bidi="ar"/>
        </w:rPr>
      </w:pPr>
      <w:r>
        <w:rPr>
          <w:rFonts w:hint="eastAsia" w:ascii="仿宋_GB2312" w:hAnsi="仿宋_GB2312" w:eastAsia="仿宋_GB2312" w:cs="仿宋_GB2312"/>
          <w:color w:val="000000" w:themeColor="text1"/>
          <w:kern w:val="0"/>
          <w:sz w:val="28"/>
          <w:szCs w:val="28"/>
        </w:rPr>
        <w:t xml:space="preserve"> 20190513班基础英语（2），试卷装订不够整齐规范；20180523班日语泛读（2），</w:t>
      </w:r>
      <w:r>
        <w:rPr>
          <w:rFonts w:hint="eastAsia" w:ascii="仿宋_GB2312" w:hAnsi="仿宋_GB2312" w:eastAsia="仿宋_GB2312" w:cs="仿宋_GB2312"/>
          <w:color w:val="000000" w:themeColor="text1"/>
          <w:kern w:val="0"/>
          <w:sz w:val="28"/>
          <w:szCs w:val="28"/>
          <w:lang w:bidi="ar"/>
        </w:rPr>
        <w:t xml:space="preserve">试卷情况分析与改进措施过于简略，命题计划表的制订时间写成2014年5月25日，题型单一，只有两道大题，第二大题没有扣分点，只给了总得分。  </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 </w:t>
      </w:r>
      <w:r>
        <w:rPr>
          <w:rFonts w:hint="eastAsia" w:ascii="仿宋_GB2312" w:hAnsi="仿宋_GB2312" w:eastAsia="仿宋_GB2312" w:cs="仿宋_GB2312"/>
          <w:b/>
          <w:color w:val="000000" w:themeColor="text1"/>
          <w:kern w:val="0"/>
          <w:sz w:val="28"/>
          <w:szCs w:val="28"/>
        </w:rPr>
        <w:t>8.艺术学院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 xml:space="preserve"> 该学期无考试课。</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 xml:space="preserve"> 9.理学院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bCs/>
          <w:color w:val="000000" w:themeColor="text1"/>
          <w:kern w:val="0"/>
          <w:sz w:val="28"/>
          <w:szCs w:val="28"/>
        </w:rPr>
      </w:pPr>
      <w:r>
        <w:rPr>
          <w:rFonts w:hint="eastAsia" w:ascii="仿宋_GB2312" w:hAnsi="仿宋_GB2312" w:eastAsia="仿宋_GB2312" w:cs="仿宋_GB2312"/>
          <w:bCs/>
          <w:color w:val="000000" w:themeColor="text1"/>
          <w:kern w:val="0"/>
          <w:sz w:val="28"/>
          <w:szCs w:val="28"/>
        </w:rPr>
        <w:t xml:space="preserve"> 20170713班实变函数，成绩偏高，优秀成绩高达47.1%，良中成绩只有38.24%,总分表格比大题数少了一栏。20190713班电磁学，20190712班数学与应用数学，不及个率高达57.7%，20190713班2018092211李佳瑜，选择题第6题应选C，学生答B，老师批为对，少扣了2分。</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10.信息工程学院</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b/>
          <w:color w:val="000000" w:themeColor="text1"/>
          <w:kern w:val="0"/>
          <w:sz w:val="28"/>
          <w:szCs w:val="28"/>
        </w:rPr>
        <w:t xml:space="preserve"> </w:t>
      </w:r>
      <w:r>
        <w:rPr>
          <w:rFonts w:hint="eastAsia" w:ascii="仿宋_GB2312" w:hAnsi="仿宋_GB2312" w:eastAsia="仿宋_GB2312" w:cs="仿宋_GB2312"/>
          <w:color w:val="000000" w:themeColor="text1"/>
          <w:kern w:val="0"/>
          <w:sz w:val="28"/>
          <w:szCs w:val="28"/>
        </w:rPr>
        <w:t xml:space="preserve">  20180824班计算机网络，成绩分布不合理，无优秀成绩，参考35人中，90分以上0人，不及格9人；20180824班数据库原理，登分不规范，第一份试卷各大题小分与总分标记看不处差别，总分外应加圈，便于区分；20170821班嵌入式操作系统，阅卷不规范，有些只标注扣得总分，没有在采分点写出扣分；20180823班信息与系统，合分错误，有三位同学试卷合分出现1分误差。</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11.生命科学院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20190924班有机化学，成绩分布不合理，无70分成绩区段；20170922班制药设备与工艺设计，试卷装订不整齐，草纸没拆除；20180922班药剂学和20180911、20180912班有机化学（2）改动处未签名。</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12.医学院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20191023班生物化学，成绩分布不合理，无优秀成绩，不及格率高达60%；试卷分析报告中信息填写不正确，参考人数、平均成和成绩等级数据有误；20171025班预防医学，将20171026班期中测试成绩装入20171025班试卷材料中；20181053班内科学，试卷装订不够规范，将成绩单等重要文件部分内容装订遮盖；试卷分析中考试形式、考试日期等未填写；试卷评阅错误之处没有用错号标记。</w:t>
      </w:r>
    </w:p>
    <w:p>
      <w:pPr>
        <w:keepNext w:val="0"/>
        <w:keepLines w:val="0"/>
        <w:pageBreakBefore w:val="0"/>
        <w:kinsoku/>
        <w:wordWrap/>
        <w:overflowPunct/>
        <w:topLinePunct w:val="0"/>
        <w:autoSpaceDE/>
        <w:autoSpaceDN/>
        <w:bidi w:val="0"/>
        <w:spacing w:line="500" w:lineRule="exact"/>
        <w:ind w:firstLine="422"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b/>
          <w:color w:val="000000" w:themeColor="text1"/>
          <w:kern w:val="0"/>
          <w:sz w:val="28"/>
          <w:szCs w:val="28"/>
        </w:rPr>
        <w:t>13.工学院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20181611班机械制造工艺学，标准参考答案中，所有小题均没有分值细化；成绩分布不合理，成绩多集中在76-81分之间，没有81分以上和60分以下的成绩；20171626建筑结构2，试卷装订不合理，覆盖了得分记录栏表；26份试卷中有15处成绩改动。</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b/>
          <w:color w:val="000000" w:themeColor="text1"/>
          <w:kern w:val="0"/>
          <w:sz w:val="28"/>
          <w:szCs w:val="28"/>
        </w:rPr>
      </w:pPr>
      <w:r>
        <w:rPr>
          <w:rFonts w:hint="eastAsia" w:ascii="仿宋_GB2312" w:hAnsi="仿宋_GB2312" w:eastAsia="仿宋_GB2312" w:cs="仿宋_GB2312"/>
          <w:color w:val="000000" w:themeColor="text1"/>
          <w:kern w:val="0"/>
          <w:sz w:val="28"/>
          <w:szCs w:val="28"/>
          <w:lang w:bidi="ar"/>
        </w:rPr>
        <w:t xml:space="preserve">  </w:t>
      </w:r>
      <w:r>
        <w:rPr>
          <w:rFonts w:hint="eastAsia" w:ascii="仿宋_GB2312" w:hAnsi="仿宋_GB2312" w:eastAsia="仿宋_GB2312" w:cs="仿宋_GB2312"/>
          <w:b/>
          <w:color w:val="000000" w:themeColor="text1"/>
          <w:kern w:val="0"/>
          <w:sz w:val="28"/>
          <w:szCs w:val="28"/>
          <w:lang w:bidi="ar"/>
        </w:rPr>
        <w:t>14.</w:t>
      </w:r>
      <w:r>
        <w:rPr>
          <w:rFonts w:hint="eastAsia" w:ascii="仿宋_GB2312" w:hAnsi="仿宋_GB2312" w:eastAsia="仿宋_GB2312" w:cs="仿宋_GB2312"/>
          <w:b/>
          <w:color w:val="000000" w:themeColor="text1"/>
          <w:kern w:val="0"/>
          <w:sz w:val="28"/>
          <w:szCs w:val="28"/>
        </w:rPr>
        <w:t>求真学院</w:t>
      </w:r>
    </w:p>
    <w:p>
      <w:pPr>
        <w:keepNext w:val="0"/>
        <w:keepLines w:val="0"/>
        <w:pageBreakBefore w:val="0"/>
        <w:kinsoku/>
        <w:wordWrap/>
        <w:overflowPunct/>
        <w:topLinePunct w:val="0"/>
        <w:autoSpaceDE/>
        <w:autoSpaceDN/>
        <w:bidi w:val="0"/>
        <w:spacing w:line="500" w:lineRule="exact"/>
        <w:ind w:firstLine="420" w:firstLineChars="15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 20173633班近代测试分析技术，班级平均成绩偏低，只有60分，不及格率高达57.12%；20173631班液压与气压传动，试卷分析改进措施一栏与另一份被查试卷（程广振老师）的文字表述一模一样，可能用了同一模板。</w:t>
      </w:r>
    </w:p>
    <w:p>
      <w:pPr>
        <w:keepNext w:val="0"/>
        <w:keepLines w:val="0"/>
        <w:pageBreakBefore w:val="0"/>
        <w:kinsoku/>
        <w:wordWrap/>
        <w:overflowPunct/>
        <w:topLinePunct w:val="0"/>
        <w:autoSpaceDE/>
        <w:autoSpaceDN/>
        <w:bidi w:val="0"/>
        <w:spacing w:line="500" w:lineRule="exact"/>
        <w:ind w:firstLine="561" w:firstLineChars="200"/>
        <w:textAlignment w:val="auto"/>
        <w:rPr>
          <w:rFonts w:hint="eastAsia" w:ascii="华文楷体" w:hAnsi="华文楷体" w:eastAsia="华文楷体" w:cs="华文楷体"/>
          <w:b/>
          <w:color w:val="000000" w:themeColor="text1"/>
          <w:kern w:val="0"/>
          <w:sz w:val="28"/>
          <w:szCs w:val="28"/>
        </w:rPr>
      </w:pPr>
      <w:r>
        <w:rPr>
          <w:rFonts w:hint="eastAsia" w:ascii="华文楷体" w:hAnsi="华文楷体" w:eastAsia="华文楷体" w:cs="华文楷体"/>
          <w:b/>
          <w:color w:val="000000" w:themeColor="text1"/>
          <w:kern w:val="0"/>
          <w:sz w:val="28"/>
          <w:szCs w:val="28"/>
        </w:rPr>
        <w:t>（二）考查课</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 xml:space="preserve">在检查的16门考查课中，存在以下两方面问题，1）有4门课程上交试卷材料不全或材料混乱，处于无序状态；2）有3门课程只有上课（考试）内容视频（其中一门课将课程名称写在光盘正面，使光盘无法播放），并没按学校要求上交相关材料，不符合学校考查课的考务要求。 </w:t>
      </w:r>
    </w:p>
    <w:p>
      <w:pPr>
        <w:keepNext w:val="0"/>
        <w:keepLines w:val="0"/>
        <w:pageBreakBefore w:val="0"/>
        <w:kinsoku/>
        <w:wordWrap/>
        <w:overflowPunct/>
        <w:topLinePunct w:val="0"/>
        <w:autoSpaceDE/>
        <w:autoSpaceDN/>
        <w:bidi w:val="0"/>
        <w:spacing w:line="500" w:lineRule="exact"/>
        <w:ind w:firstLine="561" w:firstLineChars="200"/>
        <w:textAlignment w:val="auto"/>
        <w:rPr>
          <w:rFonts w:hint="eastAsia" w:ascii="华文楷体" w:hAnsi="华文楷体" w:eastAsia="华文楷体" w:cs="华文楷体"/>
          <w:b/>
          <w:color w:val="000000" w:themeColor="text1"/>
          <w:kern w:val="0"/>
          <w:sz w:val="28"/>
          <w:szCs w:val="28"/>
        </w:rPr>
      </w:pPr>
      <w:r>
        <w:rPr>
          <w:rFonts w:hint="eastAsia" w:ascii="华文楷体" w:hAnsi="华文楷体" w:eastAsia="华文楷体" w:cs="华文楷体"/>
          <w:b/>
          <w:color w:val="000000" w:themeColor="text1"/>
          <w:kern w:val="0"/>
          <w:sz w:val="28"/>
          <w:szCs w:val="28"/>
        </w:rPr>
        <w:t>（三）作业及平时成绩</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从检查96门课程的作业情况看，存在以下五方面问题。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1.留作业次数不足。有的课程无作业或一学期留作业不到5次，有的虽然留5次及以上作业，但作业量很少，达不到要求，只是流于形式，起不到留作业的效果；</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2.批改不够认真。批改作业时无评语，无成绩等级，错误处无修改，无批改日期，有的留多次作业，但批改日期相同，这样留作业对学生学习帮助不大，失去不留作业的意义；</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3.上交资料不全。无作业成绩记录单，看不出平时成绩的真实记录情况，建议以后上交作业时一同上交作业成绩登记表；</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4.平时成绩考核不够全面。学校要求平时成绩考核内容要在四项及以上，有的课程平时成绩考核内容少，为2-3项，没有达到学校规定不少于四项的要求；</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5.平时成绩单不规范，没有表头，有的是点名册，看不出是平时成绩单。有的平时成绩单中也没有标出各项考核内容在平时成绩中所占的比例（%）。</w:t>
      </w:r>
    </w:p>
    <w:p>
      <w:pPr>
        <w:keepNext w:val="0"/>
        <w:keepLines w:val="0"/>
        <w:pageBreakBefore w:val="0"/>
        <w:kinsoku/>
        <w:wordWrap/>
        <w:overflowPunct/>
        <w:topLinePunct w:val="0"/>
        <w:autoSpaceDE/>
        <w:autoSpaceDN/>
        <w:bidi w:val="0"/>
        <w:spacing w:line="500" w:lineRule="exact"/>
        <w:ind w:firstLine="562" w:firstLineChars="200"/>
        <w:textAlignment w:val="auto"/>
        <w:rPr>
          <w:rFonts w:hint="eastAsia" w:ascii="黑体" w:hAnsi="黑体" w:eastAsia="黑体" w:cs="黑体"/>
          <w:b/>
          <w:color w:val="000000" w:themeColor="text1"/>
          <w:kern w:val="0"/>
          <w:sz w:val="28"/>
          <w:szCs w:val="28"/>
        </w:rPr>
      </w:pPr>
      <w:r>
        <w:rPr>
          <w:rFonts w:hint="eastAsia" w:ascii="黑体" w:hAnsi="黑体" w:eastAsia="黑体" w:cs="黑体"/>
          <w:b/>
          <w:color w:val="000000" w:themeColor="text1"/>
          <w:kern w:val="0"/>
          <w:sz w:val="28"/>
          <w:szCs w:val="28"/>
        </w:rPr>
        <w:t>三、建议及措施</w:t>
      </w:r>
    </w:p>
    <w:p>
      <w:pPr>
        <w:keepNext w:val="0"/>
        <w:keepLines w:val="0"/>
        <w:pageBreakBefore w:val="0"/>
        <w:kinsoku/>
        <w:wordWrap/>
        <w:overflowPunct/>
        <w:topLinePunct w:val="0"/>
        <w:autoSpaceDE/>
        <w:autoSpaceDN/>
        <w:bidi w:val="0"/>
        <w:spacing w:line="500" w:lineRule="exact"/>
        <w:ind w:firstLine="561" w:firstLineChars="200"/>
        <w:textAlignment w:val="auto"/>
        <w:rPr>
          <w:rFonts w:hint="eastAsia" w:ascii="华文楷体" w:hAnsi="华文楷体" w:eastAsia="华文楷体" w:cs="华文楷体"/>
          <w:b/>
          <w:color w:val="000000" w:themeColor="text1"/>
          <w:kern w:val="0"/>
          <w:sz w:val="28"/>
          <w:szCs w:val="28"/>
        </w:rPr>
      </w:pPr>
      <w:r>
        <w:rPr>
          <w:rFonts w:hint="eastAsia" w:ascii="华文楷体" w:hAnsi="华文楷体" w:eastAsia="华文楷体" w:cs="华文楷体"/>
          <w:b/>
          <w:color w:val="000000" w:themeColor="text1"/>
          <w:kern w:val="0"/>
          <w:sz w:val="28"/>
          <w:szCs w:val="28"/>
        </w:rPr>
        <w:t>考试课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1.上交试卷时一同上交课程教学大纲，便于检查考题内容是否全面；2.加强教师阅卷规范管理，提高教师阅卷质量，避免试卷中出现无任何批改标记，只写分数的不规范现象出现;3.提高试卷装订质量，避免内容被覆盖，使内容无法查看；4.提高考题质量。使考试成绩呈正态分布，避免学生考试成绩优秀率过高或多数学生不及格。学院对新教师的考题进行严格审核，防止考题过于简单或偏难。</w:t>
      </w:r>
    </w:p>
    <w:p>
      <w:pPr>
        <w:keepNext w:val="0"/>
        <w:keepLines w:val="0"/>
        <w:pageBreakBefore w:val="0"/>
        <w:kinsoku/>
        <w:wordWrap/>
        <w:overflowPunct/>
        <w:topLinePunct w:val="0"/>
        <w:autoSpaceDE/>
        <w:autoSpaceDN/>
        <w:bidi w:val="0"/>
        <w:spacing w:line="500" w:lineRule="exact"/>
        <w:ind w:firstLine="561" w:firstLineChars="200"/>
        <w:textAlignment w:val="auto"/>
        <w:rPr>
          <w:rFonts w:hint="eastAsia" w:ascii="华文楷体" w:hAnsi="华文楷体" w:eastAsia="华文楷体" w:cs="华文楷体"/>
          <w:b/>
          <w:color w:val="000000" w:themeColor="text1"/>
          <w:kern w:val="0"/>
          <w:sz w:val="28"/>
          <w:szCs w:val="28"/>
        </w:rPr>
      </w:pPr>
      <w:r>
        <w:rPr>
          <w:rFonts w:hint="eastAsia" w:ascii="华文楷体" w:hAnsi="华文楷体" w:eastAsia="华文楷体" w:cs="华文楷体"/>
          <w:b/>
          <w:color w:val="000000" w:themeColor="text1"/>
          <w:kern w:val="0"/>
          <w:sz w:val="28"/>
          <w:szCs w:val="28"/>
        </w:rPr>
        <w:t>考查课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kern w:val="0"/>
          <w:sz w:val="28"/>
          <w:szCs w:val="28"/>
        </w:rPr>
      </w:pPr>
      <w:r>
        <w:rPr>
          <w:rFonts w:hint="eastAsia" w:ascii="仿宋_GB2312" w:hAnsi="仿宋_GB2312" w:eastAsia="仿宋_GB2312" w:cs="仿宋_GB2312"/>
          <w:color w:val="000000" w:themeColor="text1"/>
          <w:kern w:val="0"/>
          <w:sz w:val="28"/>
          <w:szCs w:val="28"/>
        </w:rPr>
        <w:t>教师要严格按学校要求完成试卷材料，上交各类材料要齐全，内容填写要规范；试题量要适中，考题不能少于4页，难易适度，排版规范；答案正确，采分点详细具体；批改认真，标准统一，扣分依据清晰，登分规范，合分正确；平时成绩考核内容取4项及以上，要标出各项考核内容占平时总成绩的比例（%），成绩采用100制。</w:t>
      </w:r>
    </w:p>
    <w:p>
      <w:pPr>
        <w:keepNext w:val="0"/>
        <w:keepLines w:val="0"/>
        <w:pageBreakBefore w:val="0"/>
        <w:kinsoku/>
        <w:wordWrap/>
        <w:overflowPunct/>
        <w:topLinePunct w:val="0"/>
        <w:autoSpaceDE/>
        <w:autoSpaceDN/>
        <w:bidi w:val="0"/>
        <w:spacing w:line="500" w:lineRule="exact"/>
        <w:ind w:firstLine="561" w:firstLineChars="200"/>
        <w:textAlignment w:val="auto"/>
        <w:rPr>
          <w:rFonts w:hint="eastAsia" w:ascii="华文楷体" w:hAnsi="华文楷体" w:eastAsia="华文楷体" w:cs="华文楷体"/>
          <w:b/>
          <w:color w:val="000000" w:themeColor="text1"/>
          <w:kern w:val="0"/>
          <w:sz w:val="28"/>
          <w:szCs w:val="28"/>
        </w:rPr>
      </w:pPr>
      <w:r>
        <w:rPr>
          <w:rFonts w:hint="eastAsia" w:ascii="华文楷体" w:hAnsi="华文楷体" w:eastAsia="华文楷体" w:cs="华文楷体"/>
          <w:b/>
          <w:color w:val="000000" w:themeColor="text1"/>
          <w:kern w:val="0"/>
          <w:sz w:val="28"/>
          <w:szCs w:val="28"/>
        </w:rPr>
        <w:t>学生作业</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kern w:val="0"/>
          <w:sz w:val="28"/>
          <w:szCs w:val="28"/>
        </w:rPr>
        <w:t>各门课程要留适量作业，两周或每章结束留一次，及时认真批改，批阅作业时要有成绩等级</w:t>
      </w:r>
      <w:r>
        <w:rPr>
          <w:rFonts w:hint="eastAsia" w:ascii="仿宋_GB2312" w:hAnsi="仿宋_GB2312" w:eastAsia="仿宋_GB2312" w:cs="仿宋_GB2312"/>
          <w:b/>
          <w:color w:val="000000" w:themeColor="text1"/>
          <w:kern w:val="0"/>
          <w:sz w:val="28"/>
          <w:szCs w:val="28"/>
        </w:rPr>
        <w:t>、</w:t>
      </w:r>
      <w:r>
        <w:rPr>
          <w:rFonts w:hint="eastAsia" w:ascii="仿宋_GB2312" w:hAnsi="仿宋_GB2312" w:eastAsia="仿宋_GB2312" w:cs="仿宋_GB2312"/>
          <w:color w:val="000000" w:themeColor="text1"/>
          <w:kern w:val="0"/>
          <w:sz w:val="28"/>
          <w:szCs w:val="28"/>
        </w:rPr>
        <w:t>时间</w:t>
      </w:r>
      <w:r>
        <w:rPr>
          <w:rFonts w:hint="eastAsia" w:ascii="仿宋_GB2312" w:hAnsi="仿宋_GB2312" w:eastAsia="仿宋_GB2312" w:cs="仿宋_GB2312"/>
          <w:b/>
          <w:color w:val="000000" w:themeColor="text1"/>
          <w:kern w:val="0"/>
          <w:sz w:val="28"/>
          <w:szCs w:val="28"/>
        </w:rPr>
        <w:t>、</w:t>
      </w:r>
      <w:r>
        <w:rPr>
          <w:rFonts w:hint="eastAsia" w:ascii="仿宋_GB2312" w:hAnsi="仿宋_GB2312" w:eastAsia="仿宋_GB2312" w:cs="仿宋_GB2312"/>
          <w:color w:val="000000" w:themeColor="text1"/>
          <w:kern w:val="0"/>
          <w:sz w:val="28"/>
          <w:szCs w:val="28"/>
        </w:rPr>
        <w:t>评语和对错误处进行修改；接受检查上交作业时，一同上交作业成绩登记表，以便检查留作业次数，批阅情况和对学生作业的考核情况。</w:t>
      </w:r>
    </w:p>
    <w:p>
      <w:pPr>
        <w:rPr>
          <w:rFonts w:ascii="楷体_GB2312" w:hAnsi="楷体_GB2312" w:eastAsia="楷体_GB2312"/>
          <w:b/>
          <w:spacing w:val="-8"/>
          <w:sz w:val="28"/>
          <w:szCs w:val="28"/>
        </w:rPr>
      </w:pPr>
      <w:r>
        <w:rPr>
          <w:rFonts w:hint="eastAsia" w:ascii="楷体_GB2312" w:hAnsi="楷体_GB2312" w:eastAsia="楷体_GB2312"/>
          <w:b/>
          <w:spacing w:val="-8"/>
          <w:sz w:val="28"/>
          <w:szCs w:val="28"/>
        </w:rPr>
        <w:br w:type="page"/>
      </w:r>
    </w:p>
    <w:p>
      <w:pPr>
        <w:spacing w:line="560" w:lineRule="exact"/>
        <w:jc w:val="center"/>
        <w:rPr>
          <w:rFonts w:ascii="方正小标宋简体" w:hAnsi="方正小标宋简体" w:eastAsia="方正小标宋简体" w:cs="方正小标宋简体"/>
          <w:bCs/>
          <w:spacing w:val="-8"/>
          <w:sz w:val="36"/>
          <w:szCs w:val="32"/>
        </w:rPr>
      </w:pPr>
      <w:r>
        <w:rPr>
          <w:rFonts w:hint="eastAsia" w:ascii="方正小标宋简体" w:hAnsi="方正小标宋简体" w:eastAsia="方正小标宋简体" w:cs="方正小标宋简体"/>
          <w:bCs/>
          <w:spacing w:val="-8"/>
          <w:sz w:val="36"/>
          <w:szCs w:val="32"/>
        </w:rPr>
        <w:t>湖州师范学院教学督导委员会2019-2020学年</w:t>
      </w:r>
    </w:p>
    <w:p>
      <w:pPr>
        <w:spacing w:line="560" w:lineRule="exact"/>
        <w:jc w:val="center"/>
        <w:rPr>
          <w:rFonts w:ascii="方正小标宋简体" w:hAnsi="方正小标宋简体" w:eastAsia="方正小标宋简体" w:cs="方正小标宋简体"/>
          <w:bCs/>
          <w:kern w:val="0"/>
          <w:sz w:val="36"/>
          <w:szCs w:val="32"/>
        </w:rPr>
      </w:pPr>
      <w:r>
        <w:rPr>
          <w:rFonts w:hint="eastAsia" w:ascii="方正小标宋简体" w:hAnsi="方正小标宋简体" w:eastAsia="方正小标宋简体" w:cs="方正小标宋简体"/>
          <w:bCs/>
          <w:spacing w:val="-8"/>
          <w:sz w:val="36"/>
          <w:szCs w:val="32"/>
        </w:rPr>
        <w:t>第</w:t>
      </w:r>
      <w:r>
        <w:rPr>
          <w:rFonts w:hint="eastAsia" w:ascii="方正小标宋简体" w:hAnsi="方正小标宋简体" w:eastAsia="方正小标宋简体" w:cs="方正小标宋简体"/>
          <w:bCs/>
          <w:spacing w:val="-8"/>
          <w:sz w:val="36"/>
          <w:szCs w:val="32"/>
          <w:lang w:eastAsia="zh-CN"/>
        </w:rPr>
        <w:t>二</w:t>
      </w:r>
      <w:r>
        <w:rPr>
          <w:rFonts w:hint="eastAsia" w:ascii="方正小标宋简体" w:hAnsi="方正小标宋简体" w:eastAsia="方正小标宋简体" w:cs="方正小标宋简体"/>
          <w:bCs/>
          <w:spacing w:val="-8"/>
          <w:sz w:val="36"/>
          <w:szCs w:val="32"/>
        </w:rPr>
        <w:t>学期听课情况通报</w:t>
      </w:r>
    </w:p>
    <w:p>
      <w:pPr>
        <w:keepNext w:val="0"/>
        <w:keepLines w:val="0"/>
        <w:pageBreakBefore w:val="0"/>
        <w:kinsoku/>
        <w:wordWrap/>
        <w:overflowPunct/>
        <w:topLinePunct w:val="0"/>
        <w:bidi w:val="0"/>
        <w:snapToGrid/>
        <w:spacing w:line="500" w:lineRule="exact"/>
        <w:ind w:firstLine="565" w:firstLineChars="202"/>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2020年</w:t>
      </w:r>
      <w:r>
        <w:rPr>
          <w:rFonts w:hint="eastAsia" w:ascii="仿宋_GB2312" w:hAnsi="仿宋_GB2312" w:eastAsia="仿宋_GB2312" w:cs="仿宋_GB2312"/>
          <w:sz w:val="28"/>
          <w:szCs w:val="28"/>
        </w:rPr>
        <w:t>是新型冠状肺炎病毒疫情流行的特殊年份，</w:t>
      </w:r>
      <w:r>
        <w:rPr>
          <w:rFonts w:hint="eastAsia" w:ascii="仿宋_GB2312" w:hAnsi="仿宋_GB2312" w:eastAsia="仿宋_GB2312" w:cs="仿宋_GB2312"/>
          <w:kern w:val="0"/>
          <w:sz w:val="28"/>
          <w:szCs w:val="28"/>
        </w:rPr>
        <w:t>学校教学督导委员会为了在这特殊年份中，发挥好督导在提高教学质量中的作用，履行督导在教学质量中的监控职能，对学校教学运行过程中线上、线下理论课和实验课的教学秩序与质量进行有效监控，坚持多形式听课，对教学过程进行督教、督学、督管，以确保我校在特殊年份中保质保量完成各类教学任务，继续推进我校良好教风、学风建设，以保证学校教学工作正常运行。校教学督导委员会成员分成8个听课小组，深入14个二级学院，对229位上课教师的课堂教学进行听课。累计听课240节次，</w:t>
      </w:r>
      <w:r>
        <w:rPr>
          <w:rFonts w:hint="eastAsia" w:ascii="仿宋_GB2312" w:hAnsi="仿宋_GB2312" w:eastAsia="仿宋_GB2312" w:cs="仿宋_GB2312"/>
          <w:sz w:val="28"/>
          <w:szCs w:val="28"/>
        </w:rPr>
        <w:t>其中线上听课199节次，线下听课41节次，实验课听课12节次,新教师22节次。各学院听课听课平均成绩及区段分布</w:t>
      </w:r>
      <w:r>
        <w:rPr>
          <w:rFonts w:hint="eastAsia" w:ascii="仿宋_GB2312" w:hAnsi="仿宋_GB2312" w:eastAsia="仿宋_GB2312" w:cs="仿宋_GB2312"/>
          <w:kern w:val="0"/>
          <w:sz w:val="28"/>
          <w:szCs w:val="28"/>
        </w:rPr>
        <w:t>布见（表1）。</w:t>
      </w:r>
    </w:p>
    <w:p>
      <w:pPr>
        <w:keepNext w:val="0"/>
        <w:keepLines w:val="0"/>
        <w:pageBreakBefore w:val="0"/>
        <w:kinsoku/>
        <w:wordWrap/>
        <w:overflowPunct/>
        <w:topLinePunct w:val="0"/>
        <w:bidi w:val="0"/>
        <w:snapToGrid/>
        <w:spacing w:line="500" w:lineRule="exact"/>
        <w:jc w:val="center"/>
        <w:textAlignment w:val="auto"/>
        <w:rPr>
          <w:rFonts w:hint="eastAsia" w:ascii="黑体" w:hAnsi="黑体" w:eastAsia="黑体" w:cs="黑体"/>
          <w:kern w:val="0"/>
          <w:sz w:val="28"/>
          <w:szCs w:val="28"/>
        </w:rPr>
      </w:pPr>
      <w:r>
        <w:rPr>
          <w:rFonts w:hint="eastAsia" w:ascii="黑体" w:hAnsi="黑体" w:eastAsia="黑体" w:cs="黑体"/>
          <w:kern w:val="0"/>
          <w:sz w:val="28"/>
          <w:szCs w:val="28"/>
        </w:rPr>
        <w:t>表1 2019-2020学年第二学期各学院学校督导听课成汇总一览表</w:t>
      </w:r>
    </w:p>
    <w:tbl>
      <w:tblPr>
        <w:tblStyle w:val="6"/>
        <w:tblW w:w="84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2775"/>
        <w:gridCol w:w="1249"/>
        <w:gridCol w:w="1151"/>
        <w:gridCol w:w="950"/>
        <w:gridCol w:w="1038"/>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排序</w:t>
            </w:r>
          </w:p>
        </w:tc>
        <w:tc>
          <w:tcPr>
            <w:tcW w:w="2775" w:type="dxa"/>
            <w:vMerge w:val="restart"/>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学院</w:t>
            </w:r>
          </w:p>
        </w:tc>
        <w:tc>
          <w:tcPr>
            <w:tcW w:w="1249" w:type="dxa"/>
            <w:vMerge w:val="restart"/>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平均成绩</w:t>
            </w:r>
          </w:p>
        </w:tc>
        <w:tc>
          <w:tcPr>
            <w:tcW w:w="3139" w:type="dxa"/>
            <w:gridSpan w:val="3"/>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成绩区段分布</w:t>
            </w:r>
          </w:p>
        </w:tc>
        <w:tc>
          <w:tcPr>
            <w:tcW w:w="687" w:type="dxa"/>
            <w:vMerge w:val="restart"/>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98"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2775"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1249"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1151"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90-100</w:t>
            </w:r>
          </w:p>
        </w:tc>
        <w:tc>
          <w:tcPr>
            <w:tcW w:w="950"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80-89</w:t>
            </w:r>
          </w:p>
        </w:tc>
        <w:tc>
          <w:tcPr>
            <w:tcW w:w="1038" w:type="dxa"/>
            <w:noWrap/>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70-79</w:t>
            </w:r>
          </w:p>
        </w:tc>
        <w:tc>
          <w:tcPr>
            <w:tcW w:w="687" w:type="dxa"/>
            <w:vMerge w:val="continue"/>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马克思主义学院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93.43</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体育学院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91.5</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商学院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89.94</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教师教育学院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89.67</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89.57</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生命科学院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89.55</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89.17</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求真学院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88.58</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w:t>
            </w:r>
          </w:p>
        </w:tc>
        <w:tc>
          <w:tcPr>
            <w:tcW w:w="2775"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社会发展与管理学院</w:t>
            </w:r>
          </w:p>
        </w:tc>
        <w:tc>
          <w:tcPr>
            <w:tcW w:w="1249"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88.47</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2775"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理学院</w:t>
            </w:r>
          </w:p>
        </w:tc>
        <w:tc>
          <w:tcPr>
            <w:tcW w:w="1249"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88.35</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2775"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艺术学院</w:t>
            </w:r>
          </w:p>
        </w:tc>
        <w:tc>
          <w:tcPr>
            <w:tcW w:w="1249"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86.93</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2775"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信息工程学院</w:t>
            </w:r>
          </w:p>
        </w:tc>
        <w:tc>
          <w:tcPr>
            <w:tcW w:w="1249"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86.82</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687"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13</w:t>
            </w:r>
          </w:p>
        </w:tc>
        <w:tc>
          <w:tcPr>
            <w:tcW w:w="2775"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文学院</w:t>
            </w:r>
          </w:p>
        </w:tc>
        <w:tc>
          <w:tcPr>
            <w:tcW w:w="1249"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85.5</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c>
          <w:tcPr>
            <w:tcW w:w="2775"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外国语学院</w:t>
            </w:r>
          </w:p>
        </w:tc>
        <w:tc>
          <w:tcPr>
            <w:tcW w:w="1249"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85</w:t>
            </w: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12</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687"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2775"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合计</w:t>
            </w:r>
          </w:p>
        </w:tc>
        <w:tc>
          <w:tcPr>
            <w:tcW w:w="1249"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114</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114</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687"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9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2775"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p>
        </w:tc>
        <w:tc>
          <w:tcPr>
            <w:tcW w:w="1249"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p>
        </w:tc>
        <w:tc>
          <w:tcPr>
            <w:tcW w:w="1151"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49.78</w:t>
            </w:r>
          </w:p>
        </w:tc>
        <w:tc>
          <w:tcPr>
            <w:tcW w:w="950"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49.78</w:t>
            </w:r>
          </w:p>
        </w:tc>
        <w:tc>
          <w:tcPr>
            <w:tcW w:w="1038"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0.44</w:t>
            </w:r>
          </w:p>
        </w:tc>
        <w:tc>
          <w:tcPr>
            <w:tcW w:w="687" w:type="dxa"/>
            <w:noWrap/>
            <w:vAlign w:val="center"/>
          </w:tcPr>
          <w:p>
            <w:pPr>
              <w:keepNext w:val="0"/>
              <w:keepLines w:val="0"/>
              <w:pageBreakBefore w:val="0"/>
              <w:widowControl/>
              <w:kinsoku/>
              <w:wordWrap/>
              <w:overflowPunct/>
              <w:topLinePunct w:val="0"/>
              <w:bidi w:val="0"/>
              <w:snapToGrid/>
              <w:spacing w:line="5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r>
    </w:tbl>
    <w:p>
      <w:pPr>
        <w:keepNext w:val="0"/>
        <w:keepLines w:val="0"/>
        <w:pageBreakBefore w:val="0"/>
        <w:kinsoku/>
        <w:wordWrap/>
        <w:overflowPunct/>
        <w:topLinePunct w:val="0"/>
        <w:bidi w:val="0"/>
        <w:snapToGrid/>
        <w:spacing w:line="500" w:lineRule="exact"/>
        <w:ind w:firstLine="568" w:firstLineChars="202"/>
        <w:textAlignment w:val="auto"/>
        <w:rPr>
          <w:rFonts w:hint="eastAsia" w:ascii="黑体" w:hAnsi="黑体" w:eastAsia="黑体" w:cs="黑体"/>
          <w:b/>
          <w:bCs/>
          <w:sz w:val="28"/>
          <w:szCs w:val="28"/>
        </w:rPr>
      </w:pPr>
      <w:r>
        <w:rPr>
          <w:rFonts w:hint="eastAsia" w:ascii="黑体" w:hAnsi="黑体" w:eastAsia="黑体" w:cs="黑体"/>
          <w:b/>
          <w:bCs/>
          <w:sz w:val="28"/>
          <w:szCs w:val="28"/>
        </w:rPr>
        <w:t>一、总体评价</w:t>
      </w:r>
    </w:p>
    <w:p>
      <w:pPr>
        <w:keepNext w:val="0"/>
        <w:keepLines w:val="0"/>
        <w:pageBreakBefore w:val="0"/>
        <w:widowControl/>
        <w:kinsoku/>
        <w:wordWrap/>
        <w:overflowPunct/>
        <w:topLinePunct w:val="0"/>
        <w:bidi w:val="0"/>
        <w:snapToGrid/>
        <w:spacing w:line="500" w:lineRule="exact"/>
        <w:ind w:firstLine="639" w:firstLineChars="228"/>
        <w:jc w:val="left"/>
        <w:textAlignment w:val="auto"/>
        <w:rPr>
          <w:rFonts w:hint="eastAsia" w:ascii="仿宋_GB2312" w:hAnsi="仿宋_GB2312" w:eastAsia="仿宋_GB2312" w:cs="仿宋_GB2312"/>
          <w:kern w:val="0"/>
          <w:sz w:val="28"/>
          <w:szCs w:val="28"/>
        </w:rPr>
      </w:pPr>
      <w:r>
        <w:rPr>
          <w:rFonts w:hint="eastAsia" w:ascii="华文楷体" w:hAnsi="华文楷体" w:eastAsia="华文楷体" w:cs="华文楷体"/>
          <w:b/>
          <w:bCs/>
          <w:sz w:val="28"/>
          <w:szCs w:val="28"/>
        </w:rPr>
        <w:t>1.线上理论课教学。</w:t>
      </w:r>
      <w:r>
        <w:rPr>
          <w:rFonts w:hint="eastAsia" w:ascii="仿宋_GB2312" w:hAnsi="仿宋_GB2312" w:eastAsia="仿宋_GB2312" w:cs="仿宋_GB2312"/>
          <w:kern w:val="0"/>
          <w:sz w:val="28"/>
          <w:szCs w:val="28"/>
        </w:rPr>
        <w:t>各位教师都能针对疫情给教学带来不利影响，按照学校要求，积极研究线上教学方法，在教学中不断总结经验，改进教学方法，选择合适的线上教学平台，采取一系列的有效措施（学生课前签到，课堂活动），调动学生参与线上学习的积极性，按照年初计划和要求，比较好的完成教师所承担的教学任务。</w:t>
      </w:r>
    </w:p>
    <w:p>
      <w:pPr>
        <w:keepNext w:val="0"/>
        <w:keepLines w:val="0"/>
        <w:pageBreakBefore w:val="0"/>
        <w:kinsoku/>
        <w:wordWrap/>
        <w:overflowPunct/>
        <w:topLinePunct w:val="0"/>
        <w:bidi w:val="0"/>
        <w:snapToGrid/>
        <w:spacing w:line="500" w:lineRule="exact"/>
        <w:ind w:firstLine="566" w:firstLineChars="202"/>
        <w:textAlignment w:val="auto"/>
        <w:rPr>
          <w:rFonts w:hint="eastAsia" w:ascii="仿宋_GB2312" w:hAnsi="仿宋_GB2312" w:eastAsia="仿宋_GB2312" w:cs="仿宋_GB2312"/>
          <w:sz w:val="28"/>
          <w:szCs w:val="28"/>
        </w:rPr>
      </w:pPr>
      <w:r>
        <w:rPr>
          <w:rFonts w:hint="eastAsia" w:ascii="华文楷体" w:hAnsi="华文楷体" w:eastAsia="华文楷体" w:cs="华文楷体"/>
          <w:b/>
          <w:bCs/>
          <w:sz w:val="28"/>
          <w:szCs w:val="28"/>
        </w:rPr>
        <w:t>2.线下理论课教学。</w:t>
      </w:r>
      <w:r>
        <w:rPr>
          <w:rFonts w:hint="eastAsia" w:ascii="仿宋_GB2312" w:hAnsi="仿宋_GB2312" w:eastAsia="仿宋_GB2312" w:cs="仿宋_GB2312"/>
          <w:sz w:val="28"/>
          <w:szCs w:val="28"/>
        </w:rPr>
        <w:t>所有开课教师能按学校疫情防疫要求，学生上课戴口罩，间隔一米以上距离就坐；</w:t>
      </w:r>
      <w:r>
        <w:rPr>
          <w:rFonts w:hint="eastAsia" w:ascii="仿宋_GB2312" w:hAnsi="仿宋_GB2312" w:eastAsia="仿宋_GB2312" w:cs="仿宋_GB2312"/>
          <w:kern w:val="0"/>
          <w:sz w:val="28"/>
          <w:szCs w:val="28"/>
        </w:rPr>
        <w:t>教学文件齐全，教学过程规范。多数教师上课前认真准备必备教学文件，有符合专业培养目标的教学的教学大纲，有可行、较详细的授课计划；有条理清晰、系统性强、内容具体教案或图文并茂PPT；教师教学态度认真，遵守上课纪律。大多数教师能严格遵守学校的规章制度，能提前到教室进行课前准备，上课不吸烟，关闭手机；重视学生管理，课前点名，检查学生缺旷课情况，严禁学生在教室吃食物和课堂上玩手机，按时上下课；教师注重教学方法的研究，采取科学的教学方法教学。教师在课堂教学中能根据课程特点和学生实际出发，启发学生思维，培养学生分析问题和解决问题的能力，课堂上积极开展互动，互动内容设计科学，互动频繁，课堂气氛活跃，教学效果好。</w:t>
      </w:r>
    </w:p>
    <w:p>
      <w:pPr>
        <w:keepNext w:val="0"/>
        <w:keepLines w:val="0"/>
        <w:pageBreakBefore w:val="0"/>
        <w:kinsoku/>
        <w:wordWrap/>
        <w:overflowPunct/>
        <w:topLinePunct w:val="0"/>
        <w:bidi w:val="0"/>
        <w:snapToGrid/>
        <w:spacing w:line="500" w:lineRule="exact"/>
        <w:ind w:firstLine="566" w:firstLineChars="202"/>
        <w:textAlignment w:val="auto"/>
        <w:rPr>
          <w:rFonts w:hint="eastAsia" w:ascii="仿宋_GB2312" w:hAnsi="仿宋_GB2312" w:eastAsia="仿宋_GB2312" w:cs="仿宋_GB2312"/>
          <w:sz w:val="28"/>
          <w:szCs w:val="28"/>
        </w:rPr>
      </w:pPr>
      <w:r>
        <w:rPr>
          <w:rFonts w:hint="eastAsia" w:ascii="华文楷体" w:hAnsi="华文楷体" w:eastAsia="华文楷体" w:cs="华文楷体"/>
          <w:b/>
          <w:bCs/>
          <w:sz w:val="28"/>
          <w:szCs w:val="28"/>
        </w:rPr>
        <w:t>3.实验课教学。</w:t>
      </w:r>
      <w:r>
        <w:rPr>
          <w:rFonts w:hint="eastAsia" w:ascii="仿宋_GB2312" w:hAnsi="仿宋_GB2312" w:eastAsia="仿宋_GB2312" w:cs="仿宋_GB2312"/>
          <w:sz w:val="28"/>
          <w:szCs w:val="28"/>
        </w:rPr>
        <w:t>教师要求学生上课戴口罩，分成小班上实验课，实验期间保持一米以上距离就坐；承担实验课教师能按照任务书的学时和实验教学大纲的内容要求，制定详细可行的授课计划，并能严格执行;备课认真，准备充分，内容熟练，实践能力强；提前写好板书，教学环节完整，对学生管理严格，上课前30分钟，介绍实验目的、原理、方法、注意事项和实验成败关键因素，课后留有实验报告，并能认真批改，学生操作期间教师耐心指导。多数教师能按计划保质保量完成实验任务。</w:t>
      </w:r>
    </w:p>
    <w:p>
      <w:pPr>
        <w:keepNext w:val="0"/>
        <w:keepLines w:val="0"/>
        <w:pageBreakBefore w:val="0"/>
        <w:kinsoku/>
        <w:wordWrap/>
        <w:overflowPunct/>
        <w:topLinePunct w:val="0"/>
        <w:bidi w:val="0"/>
        <w:snapToGrid/>
        <w:spacing w:line="500" w:lineRule="exact"/>
        <w:ind w:firstLine="568" w:firstLineChars="202"/>
        <w:textAlignment w:val="auto"/>
        <w:rPr>
          <w:rFonts w:hint="eastAsia" w:ascii="黑体" w:hAnsi="黑体" w:eastAsia="黑体" w:cs="黑体"/>
          <w:b/>
          <w:bCs/>
          <w:sz w:val="28"/>
          <w:szCs w:val="28"/>
        </w:rPr>
      </w:pPr>
      <w:r>
        <w:rPr>
          <w:rFonts w:hint="eastAsia" w:ascii="黑体" w:hAnsi="黑体" w:eastAsia="黑体" w:cs="黑体"/>
          <w:b/>
          <w:bCs/>
          <w:sz w:val="28"/>
          <w:szCs w:val="28"/>
        </w:rPr>
        <w:t>二、存在问题</w:t>
      </w:r>
    </w:p>
    <w:p>
      <w:pPr>
        <w:keepNext w:val="0"/>
        <w:keepLines w:val="0"/>
        <w:pageBreakBefore w:val="0"/>
        <w:kinsoku/>
        <w:wordWrap/>
        <w:overflowPunct/>
        <w:topLinePunct w:val="0"/>
        <w:bidi w:val="0"/>
        <w:snapToGrid/>
        <w:spacing w:line="500" w:lineRule="exact"/>
        <w:ind w:firstLine="566" w:firstLineChars="202"/>
        <w:textAlignment w:val="auto"/>
        <w:rPr>
          <w:rFonts w:hint="eastAsia" w:ascii="仿宋_GB2312" w:hAnsi="仿宋_GB2312" w:eastAsia="仿宋_GB2312" w:cs="仿宋_GB2312"/>
          <w:sz w:val="28"/>
          <w:szCs w:val="28"/>
        </w:rPr>
      </w:pPr>
      <w:r>
        <w:rPr>
          <w:rFonts w:hint="eastAsia" w:ascii="华文楷体" w:hAnsi="华文楷体" w:eastAsia="华文楷体" w:cs="华文楷体"/>
          <w:b/>
          <w:bCs/>
          <w:sz w:val="28"/>
          <w:szCs w:val="28"/>
        </w:rPr>
        <w:t>1.线上理论课教学。</w:t>
      </w:r>
      <w:r>
        <w:rPr>
          <w:rFonts w:hint="eastAsia" w:ascii="仿宋_GB2312" w:hAnsi="仿宋_GB2312" w:eastAsia="仿宋_GB2312" w:cs="仿宋_GB2312"/>
          <w:sz w:val="28"/>
          <w:szCs w:val="28"/>
        </w:rPr>
        <w:t>有的学生课前签到后下线，不能坚持到90分钟，只有部分学生能坚持到下课；个别教师态度不够认真，对学生管理不严。不能严格遵守上下课时间，随意性大，互动少，无法调动学生线上教学积极性，教学效果欠佳；选择平台和教学方法不合适。有的教师前两周选择教学平台不合适、不流畅或教学方法不适用。后来经过调整有明显改观。</w:t>
      </w:r>
    </w:p>
    <w:p>
      <w:pPr>
        <w:keepNext w:val="0"/>
        <w:keepLines w:val="0"/>
        <w:pageBreakBefore w:val="0"/>
        <w:kinsoku/>
        <w:wordWrap/>
        <w:overflowPunct/>
        <w:topLinePunct w:val="0"/>
        <w:bidi w:val="0"/>
        <w:snapToGrid/>
        <w:spacing w:line="500" w:lineRule="exact"/>
        <w:ind w:firstLine="566" w:firstLineChars="202"/>
        <w:textAlignment w:val="auto"/>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2.线下理论课教学</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1）上课期间教师防疫意识不强。有4各班级在上课期间没有按照学校防疫办要求上课，1个教室上课期间一半学生没戴口罩，1个班级教师上课期间没戴口罩，有2个班级上课期间没按要求学生间隔1米以上距离就坐。</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2）教师教学方法有待提高。</w:t>
      </w:r>
      <w:r>
        <w:rPr>
          <w:rFonts w:hint="eastAsia" w:ascii="仿宋_GB2312" w:hAnsi="仿宋_GB2312" w:eastAsia="仿宋_GB2312" w:cs="仿宋_GB2312"/>
          <w:kern w:val="0"/>
          <w:sz w:val="28"/>
          <w:szCs w:val="28"/>
        </w:rPr>
        <w:t>本次线下听课中有5位教师的教学方法需要改进，教学方法单一，教态死板，教师只顾自己讲课，没有考虑学生的接受能力；有的教师讲课缺少激情，语调平淡，重点、难点不突出；课堂气氛沉闷，与学生互动少，或互动内容设计不科学，学生配合不积极，无法激发学生学习兴趣；有的教师整节课无板书或板书设计不够科学，字迹写的潦草、太小，教学效果欠佳。</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上课时间安排不合理。20172833班，专业英语三节课连上，不合理，建议改成单双中分别安排2节、4节会好些，避免学生长时间上一门课精神疲劳，影响上课的教学质量。</w:t>
      </w:r>
    </w:p>
    <w:p>
      <w:pPr>
        <w:keepNext w:val="0"/>
        <w:keepLines w:val="0"/>
        <w:pageBreakBefore w:val="0"/>
        <w:kinsoku/>
        <w:wordWrap/>
        <w:overflowPunct/>
        <w:topLinePunct w:val="0"/>
        <w:bidi w:val="0"/>
        <w:snapToGrid/>
        <w:spacing w:line="500" w:lineRule="exact"/>
        <w:ind w:firstLine="566" w:firstLineChars="202"/>
        <w:textAlignment w:val="auto"/>
        <w:rPr>
          <w:rFonts w:hint="eastAsia" w:ascii="华文楷体" w:hAnsi="华文楷体" w:eastAsia="华文楷体" w:cs="华文楷体"/>
          <w:b/>
          <w:bCs/>
          <w:sz w:val="28"/>
          <w:szCs w:val="28"/>
        </w:rPr>
      </w:pPr>
      <w:r>
        <w:rPr>
          <w:rFonts w:hint="eastAsia" w:ascii="华文楷体" w:hAnsi="华文楷体" w:eastAsia="华文楷体" w:cs="华文楷体"/>
          <w:b/>
          <w:bCs/>
          <w:sz w:val="28"/>
          <w:szCs w:val="28"/>
        </w:rPr>
        <w:t>3.实验课教学</w:t>
      </w:r>
    </w:p>
    <w:p>
      <w:pPr>
        <w:keepNext w:val="0"/>
        <w:keepLines w:val="0"/>
        <w:pageBreakBefore w:val="0"/>
        <w:kinsoku/>
        <w:wordWrap/>
        <w:overflowPunct/>
        <w:topLinePunct w:val="0"/>
        <w:bidi w:val="0"/>
        <w:snapToGrid/>
        <w:spacing w:line="500" w:lineRule="exact"/>
        <w:ind w:firstLine="624" w:firstLineChars="248"/>
        <w:textAlignment w:val="auto"/>
        <w:rPr>
          <w:rFonts w:hint="eastAsia" w:ascii="仿宋_GB2312" w:hAnsi="仿宋_GB2312" w:eastAsia="仿宋_GB2312" w:cs="仿宋_GB2312"/>
          <w:sz w:val="28"/>
          <w:szCs w:val="28"/>
        </w:rPr>
      </w:pPr>
      <w:r>
        <w:rPr>
          <w:rFonts w:hint="eastAsia" w:ascii="仿宋_GB2312" w:hAnsi="仿宋_GB2312" w:eastAsia="仿宋_GB2312" w:cs="仿宋_GB2312"/>
          <w:w w:val="90"/>
          <w:sz w:val="28"/>
          <w:szCs w:val="28"/>
        </w:rPr>
        <w:t>1）实验设备不足或陈旧，需要补充或更新。药物分析实验。</w:t>
      </w:r>
      <w:r>
        <w:rPr>
          <w:rFonts w:hint="eastAsia" w:ascii="仿宋_GB2312" w:hAnsi="仿宋_GB2312" w:eastAsia="仿宋_GB2312" w:cs="仿宋_GB2312"/>
          <w:sz w:val="28"/>
          <w:szCs w:val="28"/>
        </w:rPr>
        <w:t>实验中用到的加热设备是各组共用的，急需按要求补充，以满足实际实验需求；由于设备少，一台设备多人共用，学生之间间隔不够，无法达到学校防疫要求。</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部分实验时间安排不合理。在10门实验课中，有4门实验课在学时安排上不合理，其中1）13:00-21:00安排4个实验；2）每个实验4学时，实际每个实验只安排2学时，减少50%；3）某学院2门实验课的学时有较大的缩减。</w:t>
      </w:r>
    </w:p>
    <w:p>
      <w:pPr>
        <w:keepNext w:val="0"/>
        <w:keepLines w:val="0"/>
        <w:pageBreakBefore w:val="0"/>
        <w:kinsoku/>
        <w:wordWrap/>
        <w:overflowPunct/>
        <w:topLinePunct w:val="0"/>
        <w:bidi w:val="0"/>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华文楷体" w:hAnsi="华文楷体" w:eastAsia="华文楷体" w:cs="华文楷体"/>
          <w:sz w:val="28"/>
          <w:szCs w:val="28"/>
        </w:rPr>
        <w:t>3</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线上上实验很难达到实验要求。</w:t>
      </w:r>
      <w:r>
        <w:rPr>
          <w:rFonts w:hint="eastAsia" w:ascii="仿宋_GB2312" w:hAnsi="仿宋_GB2312" w:eastAsia="仿宋_GB2312" w:cs="仿宋_GB2312"/>
          <w:sz w:val="28"/>
          <w:szCs w:val="28"/>
        </w:rPr>
        <w:t>在6个学院10位教师的10门实验课，原计划开实验课281学时，71个实验，其中线上开出36学时，10个实验。分别占12,8 %和14.1 %，建议疫情期间，实验课最好不要改为线上进行，要提前做好准备，科学安排实验时间，保质保量完成实验任务，为提高本科教学质量提供保障。</w:t>
      </w:r>
    </w:p>
    <w:p>
      <w:pPr>
        <w:keepNext w:val="0"/>
        <w:keepLines w:val="0"/>
        <w:pageBreakBefore w:val="0"/>
        <w:kinsoku/>
        <w:wordWrap/>
        <w:overflowPunct/>
        <w:topLinePunct w:val="0"/>
        <w:bidi w:val="0"/>
        <w:snapToGrid/>
        <w:spacing w:line="500" w:lineRule="exact"/>
        <w:ind w:firstLine="568" w:firstLineChars="202"/>
        <w:textAlignment w:val="auto"/>
        <w:rPr>
          <w:rFonts w:hint="eastAsia" w:ascii="黑体" w:hAnsi="黑体" w:eastAsia="黑体" w:cs="黑体"/>
          <w:b/>
          <w:bCs/>
          <w:sz w:val="28"/>
          <w:szCs w:val="28"/>
        </w:rPr>
      </w:pPr>
      <w:r>
        <w:rPr>
          <w:rFonts w:hint="eastAsia" w:ascii="黑体" w:hAnsi="黑体" w:eastAsia="黑体" w:cs="黑体"/>
          <w:b/>
          <w:bCs/>
          <w:sz w:val="28"/>
          <w:szCs w:val="28"/>
        </w:rPr>
        <w:t>三、建议措施</w:t>
      </w:r>
    </w:p>
    <w:p>
      <w:pPr>
        <w:pStyle w:val="12"/>
        <w:keepNext w:val="0"/>
        <w:keepLines w:val="0"/>
        <w:pageBreakBefore w:val="0"/>
        <w:kinsoku/>
        <w:wordWrap/>
        <w:overflowPunct/>
        <w:topLinePunct w:val="0"/>
        <w:bidi w:val="0"/>
        <w:snapToGrid/>
        <w:spacing w:line="500" w:lineRule="exact"/>
        <w:ind w:firstLine="561" w:firstLineChars="200"/>
        <w:textAlignment w:val="auto"/>
        <w:rPr>
          <w:rFonts w:hint="eastAsia" w:ascii="仿宋_GB2312" w:hAnsi="仿宋_GB2312" w:eastAsia="仿宋_GB2312" w:cs="仿宋_GB2312"/>
          <w:color w:val="auto"/>
          <w:sz w:val="28"/>
          <w:szCs w:val="28"/>
        </w:rPr>
      </w:pPr>
      <w:r>
        <w:rPr>
          <w:rFonts w:hint="eastAsia" w:ascii="华文楷体" w:hAnsi="华文楷体" w:eastAsia="华文楷体" w:cs="华文楷体"/>
          <w:b/>
          <w:bCs/>
          <w:color w:val="auto"/>
          <w:sz w:val="28"/>
          <w:szCs w:val="28"/>
        </w:rPr>
        <w:t>1.线上理论课教学。</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b w:val="0"/>
          <w:bCs w:val="0"/>
          <w:color w:val="auto"/>
          <w:sz w:val="28"/>
          <w:szCs w:val="28"/>
        </w:rPr>
        <w:t>线上</w:t>
      </w:r>
      <w:r>
        <w:rPr>
          <w:rFonts w:hint="eastAsia" w:ascii="仿宋_GB2312" w:hAnsi="仿宋_GB2312" w:eastAsia="仿宋_GB2312" w:cs="仿宋_GB2312"/>
          <w:color w:val="auto"/>
          <w:sz w:val="28"/>
          <w:szCs w:val="28"/>
        </w:rPr>
        <w:t>上课应加大平时成绩占总成绩胡比例（40:60改成50:50），增加平时成绩比例，加强对学生课堂参与过程的考核，督促学生积极参与线上教学。2）教师要认真研究</w:t>
      </w:r>
      <w:r>
        <w:rPr>
          <w:rFonts w:hint="eastAsia" w:ascii="仿宋_GB2312" w:hAnsi="仿宋_GB2312" w:eastAsia="仿宋_GB2312" w:cs="仿宋_GB2312"/>
          <w:b/>
          <w:bCs/>
          <w:color w:val="auto"/>
          <w:sz w:val="28"/>
          <w:szCs w:val="28"/>
        </w:rPr>
        <w:t>线上</w:t>
      </w:r>
      <w:r>
        <w:rPr>
          <w:rFonts w:hint="eastAsia" w:ascii="仿宋_GB2312" w:hAnsi="仿宋_GB2312" w:eastAsia="仿宋_GB2312" w:cs="仿宋_GB2312"/>
          <w:color w:val="auto"/>
          <w:sz w:val="28"/>
          <w:szCs w:val="28"/>
        </w:rPr>
        <w:t>教学方法，总结出适合所任课程的线上教学的教学方法，选择适用的教学平台，确保在今后线上教学中能保质保量完成教学任务。</w:t>
      </w:r>
    </w:p>
    <w:p>
      <w:pPr>
        <w:pStyle w:val="12"/>
        <w:keepNext w:val="0"/>
        <w:keepLines w:val="0"/>
        <w:pageBreakBefore w:val="0"/>
        <w:kinsoku/>
        <w:wordWrap/>
        <w:overflowPunct/>
        <w:topLinePunct w:val="0"/>
        <w:bidi w:val="0"/>
        <w:snapToGrid/>
        <w:spacing w:line="500" w:lineRule="exact"/>
        <w:ind w:firstLine="639" w:firstLineChars="228"/>
        <w:textAlignment w:val="auto"/>
        <w:rPr>
          <w:rFonts w:hint="eastAsia" w:ascii="仿宋_GB2312" w:hAnsi="仿宋_GB2312" w:eastAsia="仿宋_GB2312" w:cs="仿宋_GB2312"/>
          <w:b/>
          <w:bCs/>
          <w:color w:val="auto"/>
          <w:sz w:val="28"/>
          <w:szCs w:val="28"/>
        </w:rPr>
      </w:pPr>
      <w:r>
        <w:rPr>
          <w:rFonts w:hint="eastAsia" w:ascii="华文楷体" w:hAnsi="华文楷体" w:eastAsia="华文楷体" w:cs="华文楷体"/>
          <w:b/>
          <w:bCs/>
          <w:color w:val="auto"/>
          <w:sz w:val="28"/>
          <w:szCs w:val="28"/>
        </w:rPr>
        <w:t>2.线下理论课教学。</w:t>
      </w:r>
      <w:r>
        <w:rPr>
          <w:rFonts w:hint="eastAsia" w:ascii="仿宋_GB2312" w:hAnsi="仿宋_GB2312" w:eastAsia="仿宋_GB2312" w:cs="仿宋_GB2312"/>
          <w:color w:val="auto"/>
          <w:sz w:val="28"/>
          <w:szCs w:val="28"/>
        </w:rPr>
        <w:t>教师要进一步研究线下教学方法，不断提高教学质量，充分调动学生参与互动的积极性，激发学生学习积极性。</w:t>
      </w:r>
      <w:r>
        <w:rPr>
          <w:rFonts w:hint="eastAsia" w:ascii="仿宋_GB2312" w:hAnsi="仿宋_GB2312" w:eastAsia="仿宋_GB2312" w:cs="仿宋_GB2312"/>
          <w:b/>
          <w:bCs/>
          <w:color w:val="auto"/>
          <w:sz w:val="28"/>
          <w:szCs w:val="28"/>
        </w:rPr>
        <w:t>线下</w:t>
      </w:r>
      <w:r>
        <w:rPr>
          <w:rFonts w:hint="eastAsia" w:ascii="仿宋_GB2312" w:hAnsi="仿宋_GB2312" w:eastAsia="仿宋_GB2312" w:cs="仿宋_GB2312"/>
          <w:color w:val="auto"/>
          <w:sz w:val="28"/>
          <w:szCs w:val="28"/>
        </w:rPr>
        <w:t>上课不能占用学生休息时间。要严格按课表中安排的的上课时间执行。</w:t>
      </w:r>
    </w:p>
    <w:p>
      <w:pPr>
        <w:keepNext w:val="0"/>
        <w:keepLines w:val="0"/>
        <w:pageBreakBefore w:val="0"/>
        <w:kinsoku/>
        <w:wordWrap/>
        <w:overflowPunct/>
        <w:topLinePunct w:val="0"/>
        <w:bidi w:val="0"/>
        <w:snapToGrid/>
        <w:spacing w:line="500" w:lineRule="exact"/>
        <w:ind w:firstLine="566" w:firstLineChars="202"/>
        <w:textAlignment w:val="auto"/>
        <w:rPr>
          <w:rFonts w:hint="eastAsia" w:ascii="仿宋_GB2312" w:hAnsi="仿宋_GB2312" w:eastAsia="仿宋_GB2312" w:cs="仿宋_GB2312"/>
          <w:kern w:val="0"/>
          <w:sz w:val="28"/>
          <w:szCs w:val="28"/>
        </w:rPr>
      </w:pPr>
      <w:r>
        <w:rPr>
          <w:rFonts w:hint="eastAsia" w:ascii="华文楷体" w:hAnsi="华文楷体" w:eastAsia="华文楷体" w:cs="华文楷体"/>
          <w:b/>
          <w:bCs/>
          <w:color w:val="auto"/>
          <w:kern w:val="0"/>
          <w:sz w:val="28"/>
          <w:szCs w:val="28"/>
          <w:lang w:val="en-US" w:eastAsia="zh-CN" w:bidi="ar-SA"/>
        </w:rPr>
        <w:t>3.实验课教学。</w:t>
      </w:r>
      <w:r>
        <w:rPr>
          <w:rFonts w:hint="eastAsia" w:ascii="仿宋_GB2312" w:hAnsi="仿宋_GB2312" w:eastAsia="仿宋_GB2312" w:cs="仿宋_GB2312"/>
          <w:kern w:val="0"/>
          <w:sz w:val="28"/>
          <w:szCs w:val="28"/>
        </w:rPr>
        <w:t>教师开课前要按照开课任务书的课时数和教学大纲的内容要求，认真做好开课授课计划，根据实际情况安排好实验个数，上课时间和上课地点，并且严格执行，避免随意性，合理安排实验课学时，不能提前下课，课上要严格遵守上课环节，认真备课和准备实验，熟练掌握实验中的操作技术和实验成败的技术要点，对学生耐心指导。这是一位职业教师必备的基本素质，也是保证实验课教学质量最基本条件。</w:t>
      </w:r>
    </w:p>
    <w:p>
      <w:pPr>
        <w:keepNext w:val="0"/>
        <w:keepLines w:val="0"/>
        <w:pageBreakBefore w:val="0"/>
        <w:kinsoku/>
        <w:wordWrap/>
        <w:overflowPunct/>
        <w:topLinePunct w:val="0"/>
        <w:bidi w:val="0"/>
        <w:snapToGrid/>
        <w:spacing w:line="500" w:lineRule="exact"/>
        <w:ind w:firstLine="566" w:firstLineChars="202"/>
        <w:textAlignment w:val="auto"/>
        <w:rPr>
          <w:rFonts w:hint="eastAsia" w:ascii="仿宋_GB2312" w:hAnsi="仿宋_GB2312" w:eastAsia="仿宋_GB2312" w:cs="仿宋_GB2312"/>
          <w:sz w:val="28"/>
          <w:szCs w:val="28"/>
        </w:rPr>
      </w:pPr>
      <w:r>
        <w:rPr>
          <w:rFonts w:hint="eastAsia" w:ascii="华文楷体" w:hAnsi="华文楷体" w:eastAsia="华文楷体" w:cs="华文楷体"/>
          <w:b/>
          <w:bCs/>
          <w:color w:val="auto"/>
          <w:kern w:val="0"/>
          <w:sz w:val="28"/>
          <w:szCs w:val="28"/>
          <w:lang w:val="en-US" w:eastAsia="zh-CN" w:bidi="ar-SA"/>
        </w:rPr>
        <w:t>4.部分专业实验设备需要更新。</w:t>
      </w:r>
      <w:r>
        <w:rPr>
          <w:rFonts w:hint="eastAsia" w:ascii="仿宋_GB2312" w:hAnsi="仿宋_GB2312" w:eastAsia="仿宋_GB2312" w:cs="仿宋_GB2312"/>
          <w:sz w:val="28"/>
          <w:szCs w:val="28"/>
        </w:rPr>
        <w:t>我校实验设备多为2005年评估前购置，已进入更新换代时期，目前部分专业设备已无法满足高质量实验要求，如生命科学院生物工程和制药工程两个专业，它们均为工科，实践能力的培养是重点。仪器设备多为建专业时购置，使用近20年，早已进入更新换代时间，特别是生物科学技术发展迅速，仪器设备更新快，现有的仪器设备严重老化或无法满足现代实验要求，建议借我校生大学之机，在经济条件允许的情况下，对老旧设备进行更新，以满足我校升入大学后，培养出高质量本科人才的需要。</w:t>
      </w:r>
    </w:p>
    <w:p>
      <w:pPr>
        <w:rPr>
          <w:rFonts w:ascii="楷体_GB2312" w:hAnsi="楷体_GB2312" w:eastAsia="楷体_GB2312"/>
          <w:b/>
          <w:spacing w:val="-8"/>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29414"/>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12FF"/>
    <w:rsid w:val="00002D21"/>
    <w:rsid w:val="00011338"/>
    <w:rsid w:val="000617DF"/>
    <w:rsid w:val="000F70C2"/>
    <w:rsid w:val="0010639B"/>
    <w:rsid w:val="00127032"/>
    <w:rsid w:val="00162FE8"/>
    <w:rsid w:val="0019120E"/>
    <w:rsid w:val="001C690D"/>
    <w:rsid w:val="002412FF"/>
    <w:rsid w:val="002710DA"/>
    <w:rsid w:val="002B2691"/>
    <w:rsid w:val="002C5D3E"/>
    <w:rsid w:val="002D7FC0"/>
    <w:rsid w:val="002F4371"/>
    <w:rsid w:val="00330DA0"/>
    <w:rsid w:val="0033557E"/>
    <w:rsid w:val="003764C5"/>
    <w:rsid w:val="0038073A"/>
    <w:rsid w:val="003837DD"/>
    <w:rsid w:val="004001E8"/>
    <w:rsid w:val="00417116"/>
    <w:rsid w:val="00466474"/>
    <w:rsid w:val="00473C45"/>
    <w:rsid w:val="004F6800"/>
    <w:rsid w:val="005F7EF3"/>
    <w:rsid w:val="0062455A"/>
    <w:rsid w:val="00661736"/>
    <w:rsid w:val="0067090E"/>
    <w:rsid w:val="00687513"/>
    <w:rsid w:val="006C141B"/>
    <w:rsid w:val="006D7A68"/>
    <w:rsid w:val="0070261C"/>
    <w:rsid w:val="007409A2"/>
    <w:rsid w:val="007506EC"/>
    <w:rsid w:val="00751491"/>
    <w:rsid w:val="00766E53"/>
    <w:rsid w:val="00863579"/>
    <w:rsid w:val="008754D5"/>
    <w:rsid w:val="008858E8"/>
    <w:rsid w:val="008969A6"/>
    <w:rsid w:val="00902858"/>
    <w:rsid w:val="00915F7E"/>
    <w:rsid w:val="009D1151"/>
    <w:rsid w:val="009D4D9F"/>
    <w:rsid w:val="00A36C9D"/>
    <w:rsid w:val="00AA1778"/>
    <w:rsid w:val="00B20DC2"/>
    <w:rsid w:val="00B27028"/>
    <w:rsid w:val="00B95E01"/>
    <w:rsid w:val="00C1465D"/>
    <w:rsid w:val="00C54516"/>
    <w:rsid w:val="00C75A79"/>
    <w:rsid w:val="00CD31F2"/>
    <w:rsid w:val="00CE63B4"/>
    <w:rsid w:val="00D126D1"/>
    <w:rsid w:val="00D32DEE"/>
    <w:rsid w:val="00D43DC3"/>
    <w:rsid w:val="00D569CF"/>
    <w:rsid w:val="00DA04E1"/>
    <w:rsid w:val="00DA39A1"/>
    <w:rsid w:val="00DF2513"/>
    <w:rsid w:val="00E37F14"/>
    <w:rsid w:val="00E95EFC"/>
    <w:rsid w:val="00EB2339"/>
    <w:rsid w:val="00EC4BEF"/>
    <w:rsid w:val="00F06910"/>
    <w:rsid w:val="00F84307"/>
    <w:rsid w:val="00FB12C3"/>
    <w:rsid w:val="00FD60FB"/>
    <w:rsid w:val="00FD7F5D"/>
    <w:rsid w:val="00FE3984"/>
    <w:rsid w:val="1E5456F3"/>
    <w:rsid w:val="21F52EBF"/>
    <w:rsid w:val="227E3BCC"/>
    <w:rsid w:val="29B83A69"/>
    <w:rsid w:val="41762441"/>
    <w:rsid w:val="4E511385"/>
    <w:rsid w:val="51F122FB"/>
    <w:rsid w:val="54733D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qFormat/>
    <w:uiPriority w:val="0"/>
    <w:pPr>
      <w:ind w:left="180" w:firstLine="540" w:firstLineChars="180"/>
    </w:pPr>
    <w:rPr>
      <w:rFonts w:ascii="仿宋_GB2312" w:eastAsia="仿宋_GB2312"/>
      <w:sz w:val="30"/>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正文文本缩进 2 Char"/>
    <w:basedOn w:val="8"/>
    <w:link w:val="2"/>
    <w:qFormat/>
    <w:uiPriority w:val="0"/>
    <w:rPr>
      <w:rFonts w:ascii="仿宋_GB2312" w:hAnsi="Times New Roman" w:eastAsia="仿宋_GB2312" w:cs="Times New Roman"/>
      <w:sz w:val="30"/>
      <w:szCs w:val="24"/>
    </w:rPr>
  </w:style>
  <w:style w:type="character" w:customStyle="1" w:styleId="14">
    <w:name w:val="font11"/>
    <w:basedOn w:val="8"/>
    <w:qFormat/>
    <w:uiPriority w:val="0"/>
    <w:rPr>
      <w:rFonts w:hint="eastAsia" w:ascii="宋体" w:hAnsi="宋体" w:eastAsia="宋体" w:cs="宋体"/>
      <w:color w:val="000000"/>
      <w:sz w:val="20"/>
      <w:szCs w:val="20"/>
      <w:u w:val="none"/>
    </w:rPr>
  </w:style>
  <w:style w:type="character" w:customStyle="1" w:styleId="15">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7113</Words>
  <Characters>8133</Characters>
  <Lines>62</Lines>
  <Paragraphs>17</Paragraphs>
  <TotalTime>2</TotalTime>
  <ScaleCrop>false</ScaleCrop>
  <LinksUpToDate>false</LinksUpToDate>
  <CharactersWithSpaces>8232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2019-01-09T06:11:00Z</dcterms:created>
  <dc:creator>user</dc:creator>
  <cp:lastModifiedBy>许莹莹</cp:lastModifiedBy>
  <dcterms:modified xsi:type="dcterms:W3CDTF">2021-01-20T06:14:43Z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