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spacing w:line="600" w:lineRule="exact"/>
        <w:jc w:val="center"/>
        <w:rPr>
          <w:rFonts w:ascii="方正小标宋简体" w:hAnsi="方正小标宋简体" w:eastAsia="方正小标宋简体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安定书院“十四五”发展规划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一、指导思想</w:t>
      </w:r>
    </w:p>
    <w:p>
      <w:pPr>
        <w:pStyle w:val="4"/>
        <w:spacing w:after="0" w:line="520" w:lineRule="exact"/>
        <w:ind w:left="0" w:right="0" w:firstLine="590"/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以习近平新时代中国特色社会主义思想和人才强国战略思想为指导，全面贯彻党的十九大和历次中央全会精神及国家、省市教育大会精神，全面落实学校第四次党代会精神，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</w:rPr>
        <w:t>以立德树人为根本任务，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以“明体达用”的教育思想为指引，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始终坚持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</w:rPr>
        <w:t>“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弘扬优良师范传统，</w:t>
      </w:r>
      <w:r>
        <w:rPr>
          <w:rFonts w:ascii="仿宋_GB2312" w:eastAsia="仿宋_GB2312" w:hAnsiTheme="minorEastAsia"/>
          <w:color w:val="auto"/>
          <w:sz w:val="32"/>
          <w:szCs w:val="32"/>
        </w:rPr>
        <w:t>彰显鲜明应用特色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</w:rPr>
        <w:t>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精心打造高水平本科教育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</w:rPr>
        <w:t>”的办学思路，落实党代会“3918”战略体系，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努力培养文化涵养宽厚、知识底蕴精深、能力素养出众、国际视野开阔的卓越创新人才，为创建高水平湖州师范大学、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</w:rPr>
        <w:t>推进学校全面实现高质量跨越式发展奠定基础。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二、发展形势与背景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随着高等教育人才培养改革的进一步深化，国内建立荣誉学院的高校越来越多，荣誉学院已经成为我国拔尖创新人才培养的新基地，是高校对优秀本科生实施个性化培养的专门机构。学院通过各种方式向优秀本科生提供有计划、有挑战的多样化课程，创造优异的学习环境，以满足拔尖创新学生的发展需求。如清华大学新雅书院、北京大学元培学院、复旦大学复旦学院、上海交通大学致远学院等，省内有浙江大学竺可桢学院、浙江工业大学健行学院、浙江师范大学初阳学院、浙江农林大学集贤学院等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同高校的荣誉学院有不同的人才培养模式，但他们具有一些共同特征:一是以培养“拔尖创新人才”为目标，学校优势教育资源相对集中；二是小班化设置，注重“厚基础，宽口径”的基础教育和通识教育；三是注重培养学生的创新能力和研究能力，为学生配备阵容强大的校内外导师团；四是实施教育国际化，组织学生出国或到国内知名高校、研究所交流学习；五是与研究生教育接轨，采用本硕一体化教育模式，将研究生教育模式融入本科教学；六是建立荣誉制度和学生动态调整机制等一系列制度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校一直秉承北宋教育家胡瑗始创的湖学精髓，以其“明体达用”的教育思想为校训。在习近平总书记来校视察时提出的“三个一定”办学目标指引下，学校从规模扩张到内涵发展，从面向全国招生到教育国际化，从本专科教育到研究生教育，从教学型高校走向教学研究型高校，为新一轮赶超发展奠定了坚实基础。在这样的办学背景下，成立荣誉学院——安定书院，是学校积极响应国家高等教育“双一流”发展战略的前瞻之策，也是推进学校高水平师范大学建设的必要之举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三、工作思路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eastAsia="仿宋_GB2312" w:hAnsiTheme="minorEastAsia"/>
          <w:color w:val="auto"/>
          <w:sz w:val="32"/>
          <w:szCs w:val="32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</w:rPr>
        <w:t>“十四五”期间，围绕学校发展要求和人才培养改革的实际需要，系统建设书院架构，科学设置和动态调整招生专业，统筹协调办学规模，按照“三制三化三融合，五育并举多元协同”的培养模式，实施党建领航、教学强基、导师引领、国际交流、素质提升、现代治理六项工程，为卓越创新人才的培养搭建平台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四、发展目标</w:t>
      </w:r>
    </w:p>
    <w:p>
      <w:pPr>
        <w:numPr>
          <w:ilvl w:val="255"/>
          <w:numId w:val="0"/>
        </w:numPr>
        <w:spacing w:line="520" w:lineRule="exact"/>
        <w:ind w:firstLine="604" w:firstLineChars="188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楷体" w:hAnsi="楷体" w:eastAsia="楷体" w:cs="仿宋_GB2312"/>
          <w:b/>
          <w:sz w:val="32"/>
          <w:szCs w:val="32"/>
        </w:rPr>
        <w:t>发展总体目标：</w:t>
      </w:r>
      <w:r>
        <w:rPr>
          <w:rFonts w:hint="eastAsia" w:ascii="仿宋_GB2312" w:eastAsia="仿宋_GB2312" w:hAnsiTheme="minorEastAsia"/>
          <w:sz w:val="32"/>
          <w:szCs w:val="32"/>
        </w:rPr>
        <w:t>围绕卓越创新人才的培养目标，打造“卓越创新人才培养试验区、创新教育改革示范区、国际化教育先行区”，把安定书院建设成有特色有影响力的一流荣誉学院。</w:t>
      </w:r>
    </w:p>
    <w:p>
      <w:pPr>
        <w:numPr>
          <w:ilvl w:val="255"/>
          <w:numId w:val="0"/>
        </w:numPr>
        <w:spacing w:line="520" w:lineRule="exact"/>
        <w:ind w:firstLine="604" w:firstLineChars="188"/>
        <w:rPr>
          <w:rFonts w:ascii="仿宋_GB2312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  <w:highlight w:val="none"/>
        </w:rPr>
        <w:t>具体发展目标：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（一）学生培养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：招生专业和在校生规模控制在一定的范围之内，第一届毕业生考研录取率达到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0%,高质量就业率达到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（二）建章立制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：建立和完善学院运行管理制度，包括师资队伍建设、教学工作管理、学生工作管理等方面的规章制度和相应的激励机制；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（三）教学建设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：建设英语、中小学综合实践活动、人工智能教育等十个左右教学研究中心；争取建设国家级一流课程1-2门、省级一流课程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3-5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门左右；争取获省级及以上教学成果奖1-2项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numPr>
          <w:ilvl w:val="255"/>
          <w:numId w:val="0"/>
        </w:numPr>
        <w:spacing w:line="520" w:lineRule="exact"/>
        <w:ind w:firstLine="601" w:firstLineChars="18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五、重点任务与建设举措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" w:hAnsi="楷体" w:eastAsia="楷体" w:cs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（一）聚焦党建领航，实施“红色+”寻根筑梦工程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加强党的全面领导。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党总支统一领导、党政分工合作、协调运行的工作机制，建立健全理论中心组集体学习制度，切实把学习党中央精神要求、贯彻学校发展战略与研究学院发展规划结合起来，充分发挥党总支在人才培养、服务师生、推动发展等方面的重要作用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发挥党支部战斗堡垒作用。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落实好党支部“三会一课”制度和支部书记述职评议制度，做好师生党支部建设党员发展工作，推进学习型、服务型、创新型党组织建设，不断增强基层党组织的创造力、凝聚力和战斗力。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酝酿培育党建特色品牌。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以安定先生“明体达用”思想为根脉，以“学党史、开新局”为主线，通过“读学讲悟行”积极引导青年学生传承红色基因、牢记初心使命、厚植家国情怀，为创建党建工作标杆院系、样板支部打下坚实基础。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加强党风廉政和作风建设。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严格执行党风廉政建设责任制，进一步强化党风廉政建设主体责任。坚持和完善领导干部联系基层制度、党员联系师生制度，建立作风建设长效机制。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（二）聚焦教学强基，实施“卓越+”人才培养工程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科学制定实验班培养方案。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以学生产出为导向，与专业所在学院共同制定和完善实验班招生专业的人才培养方案。科学设置通识课程、专业课程、实践课程的比例和标准，构建合理的课程体系；制定和完善课程教学大纲。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加强课程思政建设。</w:t>
      </w:r>
      <w:r>
        <w:rPr>
          <w:rFonts w:ascii="仿宋_GB2312" w:hAnsi="仿宋_GB2312" w:eastAsia="仿宋_GB2312" w:cs="仿宋_GB2312"/>
          <w:sz w:val="32"/>
          <w:szCs w:val="32"/>
        </w:rPr>
        <w:t>深入梳理</w:t>
      </w:r>
      <w:r>
        <w:rPr>
          <w:rFonts w:hint="eastAsia" w:ascii="仿宋_GB2312" w:hAnsi="仿宋_GB2312" w:eastAsia="仿宋_GB2312" w:cs="仿宋_GB2312"/>
          <w:sz w:val="32"/>
          <w:szCs w:val="32"/>
        </w:rPr>
        <w:t>课程</w:t>
      </w:r>
      <w:r>
        <w:rPr>
          <w:rFonts w:ascii="仿宋_GB2312" w:hAnsi="仿宋_GB2312" w:eastAsia="仿宋_GB2312" w:cs="仿宋_GB2312"/>
          <w:sz w:val="32"/>
          <w:szCs w:val="32"/>
        </w:rPr>
        <w:t>教学内容，挖掘课程思政元素，构建科学合理的课程思政教学体系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>推进现代信息技术在课程思政教学中的应用，拓展课程思政建设方法和途径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提高课程思政内涵融入课堂教学的水平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激发学生学习兴趣，引导学生深入思考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实现育人效果。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推进教育教学改革。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“本硕一体化”教育模式，将研究生教育模式融入实验班本科教学。以小班化教学为契机，采用研究式、启发式、讨论式等多元化的教学模式，发挥第一课堂的主阵地作用，注重学生能力素养的培养，倡导学生自主学习、合作学习、探索学习，强化科研学术能力，提升学术抱负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建设教学研究中心。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通识教育，开设荣誉课程，推动教学研究工作，建设好英语、应用写作、中小学综合实践活动、国风礼仪、人工智能教育、体育、美育等若干个教学研究中心，争取建设若干门国家级、省级一流课程，培育并争取获得省级及以上教学成果奖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（三）聚焦多元协同，实施“个性+”导师引领工程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实施双导师制。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每位学生配备双导师，实行双向选择。选聘校内学术水平高、育人效果好的高学历、高职称教师，校外科研院所学者、中小学知名专家和业界精英等担任导师，全程指导学生学习研究，全程参与学生的成长成才。引导学生完成本科学业后进一步深造学习，争取考研录取率达7</w:t>
      </w:r>
      <w:r>
        <w:rPr>
          <w:rFonts w:ascii="仿宋_GB2312" w:hAnsi="仿宋_GB2312" w:eastAsia="仿宋_GB2312" w:cs="仿宋_GB2312"/>
          <w:sz w:val="32"/>
          <w:szCs w:val="32"/>
        </w:rPr>
        <w:t>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开展个性化成长计划。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依托小班化和导师制因材施教，引导学生根据自身能力与兴趣，科学制定个人培养计划和学习规划，激发学生学习积极性、主动性和独立性，开发学生潜能，促进学生个性发展。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建立师生创新创业团队</w:t>
      </w:r>
      <w:r>
        <w:rPr>
          <w:rFonts w:hint="eastAsia" w:ascii="仿宋_GB2312" w:hAnsi="仿宋_GB2312" w:eastAsia="仿宋_GB2312" w:cs="仿宋_GB2312"/>
          <w:sz w:val="32"/>
          <w:szCs w:val="32"/>
        </w:rPr>
        <w:t>。结合专业特点，以项目制为抓手，组建师生创新创业团队，鼓励学生积极参加“挑战杯”“互联网+”大赛和各级各类专业学科竞赛等课外学术实践活动，争取在省级及以上比赛中实现新的突破。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搭建协同创新育人平台。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校外导师为依托，组织学生走进专业对应的国家科研机构、实验室或行业企业，通过实地参观、校友访谈、行业发展讲座等形式，培育专业认同感和行业情怀;建立长期定点社会实践基地、专业实践基地，共同建设创新合作平台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" w:hAnsi="楷体" w:eastAsia="楷体" w:cs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（四）聚焦对外交流，实施“国际+”研学助长工程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制定教育国际化方案。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制定适应培养目标的国际化人才培养战略，完善落实学生游学、交流学习、学分互换等一系列政策措施，逐步推进学院开展国际交流与合作的规划、协调和管理工作。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浓厚国际交流氛围。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外国语学院的协同合作，依托英语教学研究中心，强化学生的外语能力；加强与外国语学院、国际学院、外事处、教务处等职能部门之间的联动，积极引导学生参与英语角、中外文化交流节等活动，促进中外文化交融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推进名校研学项目。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与国内外高校联合开展课程教学资源共享、人才培养、文化交流等合作。设立国际交流奖学金，每年选拔一批优秀学生赴国内外知名高校交流学习项目，拓宽学生国际视野。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" w:hAnsi="楷体" w:eastAsia="楷体" w:cs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（五）聚焦五育并举，实施“思政+”素质提升工程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建立“三全育人”思政工作体系。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提升学风建设为中心，重点打造学习型班集体、学习型宿舍和学习型团队。建立全员、全过程、全方位育人的思政教育工作体系，学院领导班子、行政人员全体担任班主任团队成员，为学生营造愉快学习、健康成才的“书院制”氛围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开设“安定讲坛”。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共话胡瑗思想、探索创新人才培养机制，定期开展“安定讲坛”，邀请专家、名师等来校开展主题讲座，经常性开展师生研讨、互动交流、茶叙茶约等课外活动，以润物细无声的方式塑造安定学生崇高的人文品格、价值品质和道德品行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打造“三美三进”素质提升品牌活动。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体育、美育、劳育”融入到教育教学和校园文化活动中，实现“三美”进头脑、进课堂、进生活，引导学生在钻研专业知识的同时拥有丰富多彩的课外生活，从而拥有强健的体魄、高雅的艺术情操和丰富的生活实践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" w:hAnsi="楷体" w:eastAsia="楷体" w:cs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（六）聚焦提质增效，实施“质量+”现代治理工程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优化学院管理架构。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以“定位准确、职责清晰、管控有力、运行高效”为目标，持续推进学院的管理体制改革。完善学院管理机构工作制度与工作流程，规范各项办事制度，大力推进数字化改革，采用信息化手段提高管理效率。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完善监督和质量保障机制。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提高学院民主管理水平，完善各类监督制度，顺畅师生利益表达的机制和渠道。加大教学质量监控与保障的力度，坚持听课制度和评教反馈制度，组织专家定期检查教师的教改措施与教学效果。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发挥专门机构指导作用。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尊重学术规律，倡导学术自由探索，营造宽松和谐环境，充分发挥安定书院教学委员会、实验班所在专业指导委员会在发展规划、专业培养、课程体系等重大事务管理中的指导和监督作用，确保各项具体目标的实现。</w:t>
      </w:r>
    </w:p>
    <w:p>
      <w:pPr>
        <w:spacing w:line="520" w:lineRule="exact"/>
        <w:ind w:left="71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六、实施条件与保障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_GB2312" w:hAnsi="仿宋_GB2312" w:eastAsia="楷体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（一）加强组织领导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成立“十四五”规划实施工作领导小组，负责规划贯彻落实的指导、督促、统筹、协调等工作。学院各项工作以学校“十四五”规划和此规划为依据，制定年度工作实施计划，编制工作时间表，按期保质保量完成各项任务，同时根据学校发展形势和学院实际情况，适时提出规划调整方案。要通过专题学习、交流座谈等形式，组织学院教工和学生深入学习规划基本内容和主要精神，深刻理解学校的目标定位和学院各项工作的战略部署。</w:t>
      </w:r>
    </w:p>
    <w:p>
      <w:pPr>
        <w:pStyle w:val="4"/>
        <w:shd w:val="clear" w:color="auto" w:fill="FFFFFF"/>
        <w:spacing w:after="0" w:line="520" w:lineRule="exact"/>
        <w:ind w:left="0" w:right="0" w:firstLine="634"/>
        <w:rPr>
          <w:rFonts w:ascii="楷体" w:hAnsi="楷体" w:eastAsia="楷体" w:cs="仿宋_GB2312"/>
          <w:b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/>
          <w:color w:val="auto"/>
          <w:sz w:val="32"/>
          <w:szCs w:val="32"/>
        </w:rPr>
        <w:t>（二）加强制度建设</w:t>
      </w:r>
    </w:p>
    <w:p>
      <w:pPr>
        <w:spacing w:line="520" w:lineRule="exact"/>
        <w:ind w:firstLine="640" w:firstLineChars="200"/>
        <w:rPr>
          <w:rFonts w:ascii="楷体_GB2312" w:hAnsi="仿宋_GB2312" w:eastAsia="楷体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制度建设促规范管理，提升管理效能，保障各项举措有效落实。建立健全教学管理、学生管理等方面的规章制度和激励措施，制定完善实验班学生的选拔制度、动态调整制度、评奖评优制度、学分互换制度以及荣誉教师、荣誉导师、荣誉班主任的管理办法等。</w:t>
      </w:r>
    </w:p>
    <w:p>
      <w:pPr>
        <w:spacing w:line="520" w:lineRule="exact"/>
        <w:ind w:firstLine="643" w:firstLineChars="200"/>
        <w:rPr>
          <w:rFonts w:ascii="楷体_GB2312" w:hAnsi="仿宋_GB2312" w:eastAsia="楷体_GB2312" w:cs="仿宋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（三）</w:t>
      </w:r>
      <w:r>
        <w:rPr>
          <w:rFonts w:hint="eastAsia" w:ascii="楷体" w:hAnsi="楷体" w:eastAsia="楷体" w:cs="仿宋_GB2312"/>
          <w:b/>
          <w:sz w:val="32"/>
          <w:szCs w:val="32"/>
        </w:rPr>
        <w:t>加强监督反馈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健全效益评估和激励机制，实施规划目标考核和绩效考评，确保年度任务指标和此规划的年度指标任务得以完成。建立规划落实的跟踪制度，学院各内设机构要加强对规划实施情况的跟踪分析，及时反馈意见和建议。加强对规划实施的年度监测和中期评估，建立健全重要目标任务实时跟踪反馈机制，加强规划实施的动态管理。</w:t>
      </w:r>
    </w:p>
    <w:p>
      <w:pPr>
        <w:spacing w:line="520" w:lineRule="exact"/>
        <w:ind w:firstLine="643" w:firstLineChars="200"/>
        <w:rPr>
          <w:rFonts w:ascii="楷体_GB2312" w:hAnsi="仿宋_GB2312" w:eastAsia="楷体_GB2312" w:cs="仿宋_GB2312"/>
          <w:b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bCs/>
          <w:color w:val="000000"/>
          <w:sz w:val="32"/>
          <w:szCs w:val="32"/>
        </w:rPr>
        <w:t>（四）加强条件保障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工作职责和流程，做好政治保障、思想保障、队伍保障和资源保障，统筹协调规划实施的人力、物力、财力等条件。努力建设高素质干部队伍，突出政治标准，强化实绩导向；多渠道筹措资金，加大经费投入，不断改善条件并合理配置资源；深化开放合作，探索优势互补、资源共享、互利共赢的共建模式，为规划的落实提供有力支持和有效保障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43D"/>
    <w:rsid w:val="00014368"/>
    <w:rsid w:val="00026527"/>
    <w:rsid w:val="00045E82"/>
    <w:rsid w:val="00051A09"/>
    <w:rsid w:val="000704DE"/>
    <w:rsid w:val="00073E3F"/>
    <w:rsid w:val="00081EFB"/>
    <w:rsid w:val="00096762"/>
    <w:rsid w:val="000B35F3"/>
    <w:rsid w:val="000D273C"/>
    <w:rsid w:val="000E4ACD"/>
    <w:rsid w:val="000F0462"/>
    <w:rsid w:val="000F2232"/>
    <w:rsid w:val="000F32DF"/>
    <w:rsid w:val="00117168"/>
    <w:rsid w:val="001243BB"/>
    <w:rsid w:val="00125967"/>
    <w:rsid w:val="0013039C"/>
    <w:rsid w:val="00141E73"/>
    <w:rsid w:val="001503C6"/>
    <w:rsid w:val="00151E3B"/>
    <w:rsid w:val="00172A27"/>
    <w:rsid w:val="00172F5F"/>
    <w:rsid w:val="00183C76"/>
    <w:rsid w:val="001951DB"/>
    <w:rsid w:val="001A237B"/>
    <w:rsid w:val="001A2D60"/>
    <w:rsid w:val="001D07B7"/>
    <w:rsid w:val="001E101A"/>
    <w:rsid w:val="001E1945"/>
    <w:rsid w:val="001F0DE6"/>
    <w:rsid w:val="00201EF2"/>
    <w:rsid w:val="002061D3"/>
    <w:rsid w:val="002125CD"/>
    <w:rsid w:val="00217D9B"/>
    <w:rsid w:val="0023762A"/>
    <w:rsid w:val="00246C2D"/>
    <w:rsid w:val="002C615C"/>
    <w:rsid w:val="002E41FC"/>
    <w:rsid w:val="0031658E"/>
    <w:rsid w:val="00325B21"/>
    <w:rsid w:val="00326CC0"/>
    <w:rsid w:val="00340307"/>
    <w:rsid w:val="0038068C"/>
    <w:rsid w:val="00390F82"/>
    <w:rsid w:val="00394653"/>
    <w:rsid w:val="003B30D3"/>
    <w:rsid w:val="003B59F0"/>
    <w:rsid w:val="003B6832"/>
    <w:rsid w:val="003C0EA1"/>
    <w:rsid w:val="003C36C9"/>
    <w:rsid w:val="003F062B"/>
    <w:rsid w:val="00411D2E"/>
    <w:rsid w:val="0041322D"/>
    <w:rsid w:val="004346FE"/>
    <w:rsid w:val="00436D35"/>
    <w:rsid w:val="00442A04"/>
    <w:rsid w:val="00453B58"/>
    <w:rsid w:val="004842EA"/>
    <w:rsid w:val="004903C3"/>
    <w:rsid w:val="004A1ADC"/>
    <w:rsid w:val="004B2F0B"/>
    <w:rsid w:val="004B3A0D"/>
    <w:rsid w:val="004E0AD1"/>
    <w:rsid w:val="004F323F"/>
    <w:rsid w:val="004F4992"/>
    <w:rsid w:val="00503EE6"/>
    <w:rsid w:val="00505947"/>
    <w:rsid w:val="005123E4"/>
    <w:rsid w:val="005169F7"/>
    <w:rsid w:val="00524566"/>
    <w:rsid w:val="00525E8D"/>
    <w:rsid w:val="00535BF8"/>
    <w:rsid w:val="005505CE"/>
    <w:rsid w:val="005854E1"/>
    <w:rsid w:val="00586C1C"/>
    <w:rsid w:val="005B3836"/>
    <w:rsid w:val="005D4B3E"/>
    <w:rsid w:val="005F228C"/>
    <w:rsid w:val="00603125"/>
    <w:rsid w:val="00604724"/>
    <w:rsid w:val="00614D2C"/>
    <w:rsid w:val="00635805"/>
    <w:rsid w:val="006419A5"/>
    <w:rsid w:val="006557FF"/>
    <w:rsid w:val="006575F5"/>
    <w:rsid w:val="006751A2"/>
    <w:rsid w:val="006A75A4"/>
    <w:rsid w:val="006A766E"/>
    <w:rsid w:val="006B1225"/>
    <w:rsid w:val="006E5B26"/>
    <w:rsid w:val="006F0731"/>
    <w:rsid w:val="00701E8B"/>
    <w:rsid w:val="00702501"/>
    <w:rsid w:val="00747D5A"/>
    <w:rsid w:val="00753BFC"/>
    <w:rsid w:val="00756CDD"/>
    <w:rsid w:val="00762B17"/>
    <w:rsid w:val="007708C0"/>
    <w:rsid w:val="007762B9"/>
    <w:rsid w:val="00794CAD"/>
    <w:rsid w:val="007B1496"/>
    <w:rsid w:val="007B748E"/>
    <w:rsid w:val="007C1315"/>
    <w:rsid w:val="007C152F"/>
    <w:rsid w:val="007C22F2"/>
    <w:rsid w:val="007E33AA"/>
    <w:rsid w:val="007E45E8"/>
    <w:rsid w:val="0080352E"/>
    <w:rsid w:val="00807B59"/>
    <w:rsid w:val="0081310E"/>
    <w:rsid w:val="00843B10"/>
    <w:rsid w:val="008578C7"/>
    <w:rsid w:val="008715CE"/>
    <w:rsid w:val="008756D5"/>
    <w:rsid w:val="00892EE9"/>
    <w:rsid w:val="008D1754"/>
    <w:rsid w:val="008E5172"/>
    <w:rsid w:val="00903FE1"/>
    <w:rsid w:val="00906972"/>
    <w:rsid w:val="00906E24"/>
    <w:rsid w:val="00920F47"/>
    <w:rsid w:val="0094746E"/>
    <w:rsid w:val="00955747"/>
    <w:rsid w:val="00964DD9"/>
    <w:rsid w:val="00974D7E"/>
    <w:rsid w:val="00993B3E"/>
    <w:rsid w:val="00995DEC"/>
    <w:rsid w:val="009A6BED"/>
    <w:rsid w:val="009B13A5"/>
    <w:rsid w:val="009B5A64"/>
    <w:rsid w:val="009C48F5"/>
    <w:rsid w:val="009E1AFA"/>
    <w:rsid w:val="009E55C3"/>
    <w:rsid w:val="009F1057"/>
    <w:rsid w:val="009F72F5"/>
    <w:rsid w:val="00A23C64"/>
    <w:rsid w:val="00A258E4"/>
    <w:rsid w:val="00A27BDF"/>
    <w:rsid w:val="00A41B1F"/>
    <w:rsid w:val="00A4239D"/>
    <w:rsid w:val="00A462C4"/>
    <w:rsid w:val="00A47971"/>
    <w:rsid w:val="00A673CA"/>
    <w:rsid w:val="00A705B9"/>
    <w:rsid w:val="00A769DB"/>
    <w:rsid w:val="00A77E03"/>
    <w:rsid w:val="00A977C1"/>
    <w:rsid w:val="00AB68A1"/>
    <w:rsid w:val="00AD1F22"/>
    <w:rsid w:val="00AF14B1"/>
    <w:rsid w:val="00AF5370"/>
    <w:rsid w:val="00AF6DD9"/>
    <w:rsid w:val="00B04B64"/>
    <w:rsid w:val="00B11C20"/>
    <w:rsid w:val="00B44DA4"/>
    <w:rsid w:val="00B56328"/>
    <w:rsid w:val="00B567EA"/>
    <w:rsid w:val="00B66D47"/>
    <w:rsid w:val="00B8074B"/>
    <w:rsid w:val="00BB47E7"/>
    <w:rsid w:val="00BB7859"/>
    <w:rsid w:val="00BC017B"/>
    <w:rsid w:val="00BC17FF"/>
    <w:rsid w:val="00BD2195"/>
    <w:rsid w:val="00BE28B2"/>
    <w:rsid w:val="00BE6F99"/>
    <w:rsid w:val="00BF016A"/>
    <w:rsid w:val="00C06FD7"/>
    <w:rsid w:val="00C37E99"/>
    <w:rsid w:val="00C42992"/>
    <w:rsid w:val="00C53197"/>
    <w:rsid w:val="00C75F50"/>
    <w:rsid w:val="00C77765"/>
    <w:rsid w:val="00C80259"/>
    <w:rsid w:val="00CA4AA6"/>
    <w:rsid w:val="00CA4ACF"/>
    <w:rsid w:val="00CA5FE3"/>
    <w:rsid w:val="00CB2BD9"/>
    <w:rsid w:val="00CB48E0"/>
    <w:rsid w:val="00CD54D6"/>
    <w:rsid w:val="00CE389A"/>
    <w:rsid w:val="00CE563A"/>
    <w:rsid w:val="00CF2978"/>
    <w:rsid w:val="00D01F5C"/>
    <w:rsid w:val="00D06C24"/>
    <w:rsid w:val="00D0738F"/>
    <w:rsid w:val="00D07A08"/>
    <w:rsid w:val="00D344B3"/>
    <w:rsid w:val="00D361EC"/>
    <w:rsid w:val="00D41218"/>
    <w:rsid w:val="00D424F7"/>
    <w:rsid w:val="00D6254D"/>
    <w:rsid w:val="00D668D1"/>
    <w:rsid w:val="00D81127"/>
    <w:rsid w:val="00D85A8B"/>
    <w:rsid w:val="00DB1B9A"/>
    <w:rsid w:val="00DC6DA9"/>
    <w:rsid w:val="00DD061A"/>
    <w:rsid w:val="00DE0D61"/>
    <w:rsid w:val="00DF6856"/>
    <w:rsid w:val="00E1167B"/>
    <w:rsid w:val="00E26756"/>
    <w:rsid w:val="00E35D54"/>
    <w:rsid w:val="00E4336A"/>
    <w:rsid w:val="00E501A4"/>
    <w:rsid w:val="00E74C47"/>
    <w:rsid w:val="00EA1845"/>
    <w:rsid w:val="00EB4861"/>
    <w:rsid w:val="00EC28C4"/>
    <w:rsid w:val="00EE32B1"/>
    <w:rsid w:val="00F22747"/>
    <w:rsid w:val="00F23357"/>
    <w:rsid w:val="00F31173"/>
    <w:rsid w:val="00F42ACC"/>
    <w:rsid w:val="00F537C5"/>
    <w:rsid w:val="00F606B1"/>
    <w:rsid w:val="00F61B24"/>
    <w:rsid w:val="00F66ACD"/>
    <w:rsid w:val="00F7230E"/>
    <w:rsid w:val="00F80E0A"/>
    <w:rsid w:val="00F855C3"/>
    <w:rsid w:val="00F857CF"/>
    <w:rsid w:val="00FB4183"/>
    <w:rsid w:val="00FC4474"/>
    <w:rsid w:val="00FD6368"/>
    <w:rsid w:val="00FF59F3"/>
    <w:rsid w:val="0245544A"/>
    <w:rsid w:val="0D39126B"/>
    <w:rsid w:val="0E345E86"/>
    <w:rsid w:val="10C17581"/>
    <w:rsid w:val="129250A7"/>
    <w:rsid w:val="14D8022C"/>
    <w:rsid w:val="190127BD"/>
    <w:rsid w:val="3096494F"/>
    <w:rsid w:val="531D5AD2"/>
    <w:rsid w:val="5FA30612"/>
    <w:rsid w:val="61A86E07"/>
    <w:rsid w:val="76147B7E"/>
    <w:rsid w:val="76412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after="3" w:line="347" w:lineRule="auto"/>
      <w:ind w:left="10" w:right="155" w:hanging="10"/>
      <w:jc w:val="left"/>
    </w:pPr>
    <w:rPr>
      <w:rFonts w:ascii="微软雅黑" w:hAnsi="微软雅黑" w:eastAsia="微软雅黑" w:cs="微软雅黑"/>
      <w:color w:val="000000"/>
      <w:sz w:val="24"/>
      <w:szCs w:val="2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1">
    <w:name w:val="bjh-p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ABA485-1054-4224-8FD8-DE660AA74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686</Words>
  <Characters>3916</Characters>
  <Lines>32</Lines>
  <Paragraphs>9</Paragraphs>
  <TotalTime>1434</TotalTime>
  <ScaleCrop>false</ScaleCrop>
  <LinksUpToDate>false</LinksUpToDate>
  <CharactersWithSpaces>4593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2021-05-04T02:21:00Z</dcterms:created>
  <dc:creator>DMT</dc:creator>
  <cp:lastModifiedBy>阳光</cp:lastModifiedBy>
  <dcterms:modified xsi:type="dcterms:W3CDTF">2022-01-06T07:16:03Z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E030A025E2D44A1CA5E2F70500CCD8F0</vt:lpwstr>
  </property>
</Properties>
</file>